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4409" w:rsidRDefault="00AD4409" w:rsidP="00AD4409">
      <w:pPr>
        <w:pBdr>
          <w:bottom w:val="single" w:sz="4" w:space="1" w:color="auto"/>
        </w:pBdr>
        <w:rPr>
          <w:rFonts w:ascii="Arial" w:hAnsi="Arial" w:cs="Arial"/>
          <w:b/>
          <w:sz w:val="28"/>
          <w:szCs w:val="36"/>
        </w:rPr>
      </w:pPr>
      <w:r w:rsidRPr="00AD4409">
        <w:rPr>
          <w:rFonts w:ascii="Arial" w:hAnsi="Arial" w:cs="Arial"/>
          <w:b/>
          <w:noProof/>
          <w:sz w:val="28"/>
          <w:szCs w:val="36"/>
          <w:lang w:eastAsia="fr-FR"/>
        </w:rPr>
        <w:drawing>
          <wp:anchor distT="0" distB="0" distL="114300" distR="114300" simplePos="0" relativeHeight="251667456" behindDoc="1" locked="0" layoutInCell="1" allowOverlap="1" wp14:anchorId="4D9C0539" wp14:editId="758149EC">
            <wp:simplePos x="0" y="0"/>
            <wp:positionH relativeFrom="page">
              <wp:posOffset>190500</wp:posOffset>
            </wp:positionH>
            <wp:positionV relativeFrom="paragraph">
              <wp:posOffset>-671195</wp:posOffset>
            </wp:positionV>
            <wp:extent cx="1836000" cy="653794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YNAXIA_LOGO CMJ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653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039" w:rsidRPr="00E15039" w:rsidRDefault="00E15039" w:rsidP="00E15039">
      <w:pPr>
        <w:pBdr>
          <w:bottom w:val="single" w:sz="4" w:space="1" w:color="auto"/>
        </w:pBdr>
        <w:jc w:val="right"/>
        <w:rPr>
          <w:rFonts w:ascii="Arial" w:hAnsi="Arial" w:cs="Arial"/>
          <w:b/>
          <w:sz w:val="28"/>
          <w:szCs w:val="36"/>
        </w:rPr>
      </w:pPr>
      <w:r w:rsidRPr="00E15039">
        <w:rPr>
          <w:rFonts w:ascii="Arial" w:hAnsi="Arial" w:cs="Arial"/>
          <w:b/>
          <w:sz w:val="28"/>
          <w:szCs w:val="36"/>
        </w:rPr>
        <w:t>Directive sur la Distribution en Assurance (DDA)</w:t>
      </w:r>
    </w:p>
    <w:p w:rsidR="00E15039" w:rsidRPr="00E15039" w:rsidRDefault="00E15039" w:rsidP="00E15039">
      <w:pPr>
        <w:pBdr>
          <w:bottom w:val="single" w:sz="4" w:space="1" w:color="auto"/>
        </w:pBdr>
        <w:jc w:val="right"/>
        <w:rPr>
          <w:rFonts w:ascii="Arial" w:hAnsi="Arial" w:cs="Arial"/>
          <w:b/>
          <w:sz w:val="28"/>
          <w:szCs w:val="36"/>
        </w:rPr>
      </w:pPr>
      <w:r w:rsidRPr="00E15039">
        <w:rPr>
          <w:rFonts w:ascii="Arial" w:hAnsi="Arial" w:cs="Arial"/>
          <w:b/>
          <w:sz w:val="28"/>
          <w:szCs w:val="36"/>
        </w:rPr>
        <w:t>Contrainte ou opportunité ?</w:t>
      </w:r>
    </w:p>
    <w:p w:rsidR="00770C44" w:rsidRDefault="00770C44" w:rsidP="00770C44">
      <w:pPr>
        <w:rPr>
          <w:b/>
        </w:rPr>
      </w:pPr>
    </w:p>
    <w:p w:rsidR="00E15039" w:rsidRPr="00FB1D3B" w:rsidRDefault="00E15039" w:rsidP="00A40F85">
      <w:pPr>
        <w:ind w:left="641"/>
        <w:rPr>
          <w:rFonts w:ascii="Arial" w:hAnsi="Arial" w:cs="Arial"/>
          <w:b/>
        </w:rPr>
      </w:pPr>
      <w:r w:rsidRPr="00FB1D3B">
        <w:rPr>
          <w:rFonts w:ascii="Arial" w:hAnsi="Arial" w:cs="Arial"/>
          <w:b/>
        </w:rPr>
        <w:t>Qu’est-ce que la Directive sur la Distribution en Assurance ?</w:t>
      </w:r>
    </w:p>
    <w:p w:rsidR="00E15039" w:rsidRPr="00A40F85" w:rsidRDefault="00E15039" w:rsidP="00E15039">
      <w:pPr>
        <w:tabs>
          <w:tab w:val="left" w:pos="426"/>
        </w:tabs>
        <w:ind w:left="284" w:firstLine="0"/>
        <w:jc w:val="both"/>
        <w:rPr>
          <w:b/>
        </w:rPr>
      </w:pPr>
      <w:r w:rsidRPr="00A40F85">
        <w:rPr>
          <w:rFonts w:ascii="Calibri" w:eastAsia="Times New Roman" w:hAnsi="Calibri" w:cs="Calibri"/>
          <w:b/>
          <w:bCs/>
          <w:iCs/>
          <w:szCs w:val="24"/>
          <w:lang w:eastAsia="fr-FR"/>
        </w:rPr>
        <w:t>Une directive qui vise à renforcer</w:t>
      </w:r>
      <w:r w:rsidRPr="00A40F85">
        <w:rPr>
          <w:b/>
        </w:rPr>
        <w:t xml:space="preserve"> la protection du consommateur et à consolider la construction d’un marché unique de l’assurance en Europe</w:t>
      </w:r>
    </w:p>
    <w:p w:rsidR="00B53262" w:rsidRDefault="009A335D" w:rsidP="00E15039">
      <w:pPr>
        <w:shd w:val="clear" w:color="auto" w:fill="FFFFFF"/>
        <w:spacing w:line="312" w:lineRule="atLeast"/>
        <w:ind w:left="284" w:firstLine="0"/>
        <w:jc w:val="both"/>
        <w:rPr>
          <w:rFonts w:ascii="Calibri" w:eastAsia="Times New Roman" w:hAnsi="Calibri" w:cs="Calibri"/>
          <w:iCs/>
          <w:color w:val="000000"/>
          <w:szCs w:val="24"/>
          <w:lang w:eastAsia="fr-FR"/>
        </w:rPr>
      </w:pPr>
      <w:r>
        <w:t>Après MI</w:t>
      </w:r>
      <w:r w:rsidR="00E15039">
        <w:t>FID 2 et PRIIPS qui encadrent la distribution de produits financiers et d’assurance vie</w:t>
      </w:r>
      <w:r w:rsidR="00B53262">
        <w:t xml:space="preserve"> pour relancer la confiance des consommateurs dans l’investissement sur les marchés financiers</w:t>
      </w:r>
      <w:r w:rsidR="00E15039" w:rsidRPr="00C74FC2">
        <w:rPr>
          <w:rFonts w:ascii="Calibri" w:eastAsia="Times New Roman" w:hAnsi="Calibri" w:cs="Calibri"/>
          <w:iCs/>
          <w:color w:val="000000"/>
          <w:szCs w:val="24"/>
          <w:lang w:eastAsia="fr-FR"/>
        </w:rPr>
        <w:t>, les régu</w:t>
      </w:r>
      <w:r w:rsidR="00B53262">
        <w:rPr>
          <w:rFonts w:ascii="Calibri" w:eastAsia="Times New Roman" w:hAnsi="Calibri" w:cs="Calibri"/>
          <w:iCs/>
          <w:color w:val="000000"/>
          <w:szCs w:val="24"/>
          <w:lang w:eastAsia="fr-FR"/>
        </w:rPr>
        <w:t>lateurs européens ont élaboré un nouveau texte</w:t>
      </w:r>
      <w:r w:rsidR="00E15039" w:rsidRPr="00C74FC2">
        <w:rPr>
          <w:rFonts w:ascii="Calibri" w:eastAsia="Times New Roman" w:hAnsi="Calibri" w:cs="Calibri"/>
          <w:iCs/>
          <w:color w:val="000000"/>
          <w:szCs w:val="24"/>
          <w:lang w:eastAsia="fr-FR"/>
        </w:rPr>
        <w:t xml:space="preserve"> de loi visant à replacer la défense et la protection des intérêts du consommateur au centre des préoccupations.</w:t>
      </w:r>
      <w:r w:rsidR="00E15039">
        <w:rPr>
          <w:rFonts w:ascii="Calibri" w:eastAsia="Times New Roman" w:hAnsi="Calibri" w:cs="Calibri"/>
          <w:iCs/>
          <w:color w:val="000000"/>
          <w:szCs w:val="24"/>
          <w:lang w:eastAsia="fr-FR"/>
        </w:rPr>
        <w:t xml:space="preserve"> </w:t>
      </w:r>
    </w:p>
    <w:p w:rsidR="00E15039" w:rsidRPr="00294D8C" w:rsidRDefault="00E15039" w:rsidP="00E15039">
      <w:pPr>
        <w:shd w:val="clear" w:color="auto" w:fill="FFFFFF"/>
        <w:spacing w:line="312" w:lineRule="atLeast"/>
        <w:ind w:left="284" w:firstLine="0"/>
        <w:jc w:val="both"/>
        <w:rPr>
          <w:rFonts w:ascii="Calibri" w:eastAsia="Times New Roman" w:hAnsi="Calibri" w:cs="Calibri"/>
          <w:iCs/>
          <w:color w:val="000000"/>
          <w:szCs w:val="24"/>
          <w:lang w:eastAsia="fr-FR"/>
        </w:rPr>
      </w:pPr>
      <w:r w:rsidRPr="00294D8C">
        <w:rPr>
          <w:rFonts w:ascii="Calibri" w:eastAsia="Times New Roman" w:hAnsi="Calibri" w:cs="Calibri"/>
          <w:iCs/>
          <w:color w:val="000000"/>
          <w:szCs w:val="24"/>
          <w:lang w:eastAsia="fr-FR"/>
        </w:rPr>
        <w:t>La Directive sur la Distribution en Assurance</w:t>
      </w:r>
      <w:r w:rsidR="003C0B62">
        <w:rPr>
          <w:rFonts w:ascii="Calibri" w:eastAsia="Times New Roman" w:hAnsi="Calibri" w:cs="Calibri"/>
          <w:iCs/>
          <w:color w:val="000000"/>
          <w:szCs w:val="24"/>
          <w:lang w:eastAsia="fr-FR"/>
        </w:rPr>
        <w:t xml:space="preserve"> (</w:t>
      </w:r>
      <w:r w:rsidR="00B53262">
        <w:rPr>
          <w:rFonts w:ascii="Calibri" w:eastAsia="Times New Roman" w:hAnsi="Calibri" w:cs="Calibri"/>
          <w:iCs/>
          <w:color w:val="000000"/>
          <w:szCs w:val="24"/>
          <w:lang w:eastAsia="fr-FR"/>
        </w:rPr>
        <w:t xml:space="preserve">DDA ou IDD pour </w:t>
      </w:r>
      <w:r w:rsidR="003C0B62">
        <w:rPr>
          <w:rFonts w:ascii="Calibri" w:eastAsia="Times New Roman" w:hAnsi="Calibri" w:cs="Calibri"/>
          <w:iCs/>
          <w:color w:val="000000"/>
          <w:szCs w:val="24"/>
          <w:lang w:eastAsia="fr-FR"/>
        </w:rPr>
        <w:t>« </w:t>
      </w:r>
      <w:r w:rsidR="00B53262" w:rsidRPr="008D24CA">
        <w:rPr>
          <w:rFonts w:ascii="Calibri" w:eastAsia="Times New Roman" w:hAnsi="Calibri" w:cs="Calibri"/>
          <w:iCs/>
          <w:color w:val="000000"/>
          <w:szCs w:val="24"/>
          <w:lang w:eastAsia="fr-FR"/>
        </w:rPr>
        <w:t>Insurance Distribution Directive</w:t>
      </w:r>
      <w:r w:rsidR="003C0B62">
        <w:rPr>
          <w:rFonts w:ascii="Calibri" w:eastAsia="Times New Roman" w:hAnsi="Calibri" w:cs="Calibri"/>
          <w:iCs/>
          <w:color w:val="000000"/>
          <w:szCs w:val="24"/>
          <w:lang w:eastAsia="fr-FR"/>
        </w:rPr>
        <w:t> »</w:t>
      </w:r>
      <w:r w:rsidR="00B53262">
        <w:rPr>
          <w:rFonts w:ascii="Calibri" w:eastAsia="Times New Roman" w:hAnsi="Calibri" w:cs="Calibri"/>
          <w:iCs/>
          <w:color w:val="000000"/>
          <w:szCs w:val="24"/>
          <w:lang w:eastAsia="fr-FR"/>
        </w:rPr>
        <w:t>)</w:t>
      </w:r>
      <w:r w:rsidRPr="00294D8C">
        <w:rPr>
          <w:rFonts w:ascii="Calibri" w:eastAsia="Times New Roman" w:hAnsi="Calibri" w:cs="Calibri"/>
          <w:iCs/>
          <w:color w:val="000000"/>
          <w:szCs w:val="24"/>
          <w:lang w:eastAsia="fr-FR"/>
        </w:rPr>
        <w:t xml:space="preserve"> s’inscrit dans une démarche d’uniformisation de la réglementation de la distribution des produits d’assurance et vise à : </w:t>
      </w:r>
    </w:p>
    <w:p w:rsidR="00E15039" w:rsidRPr="00294D8C" w:rsidRDefault="00E15039" w:rsidP="00E15039">
      <w:pPr>
        <w:pStyle w:val="Paragraphedeliste"/>
        <w:numPr>
          <w:ilvl w:val="0"/>
          <w:numId w:val="13"/>
        </w:numPr>
        <w:shd w:val="clear" w:color="auto" w:fill="FFFFFF"/>
        <w:spacing w:after="0" w:line="312" w:lineRule="atLeast"/>
        <w:jc w:val="both"/>
        <w:rPr>
          <w:rFonts w:ascii="Calibri" w:eastAsia="Times New Roman" w:hAnsi="Calibri" w:cs="Calibri"/>
          <w:iCs/>
          <w:color w:val="000000"/>
          <w:szCs w:val="24"/>
          <w:lang w:eastAsia="fr-FR"/>
        </w:rPr>
      </w:pPr>
      <w:r w:rsidRPr="00FB1D3B">
        <w:rPr>
          <w:b/>
          <w:color w:val="0099CC"/>
        </w:rPr>
        <w:t>Renforcer la protection des preneurs d’assurance</w:t>
      </w:r>
      <w:r w:rsidRPr="00294D8C">
        <w:rPr>
          <w:rFonts w:ascii="Calibri" w:eastAsia="Times New Roman" w:hAnsi="Calibri" w:cs="Calibri"/>
          <w:iCs/>
          <w:color w:val="000000"/>
          <w:szCs w:val="24"/>
          <w:lang w:eastAsia="fr-FR"/>
        </w:rPr>
        <w:t xml:space="preserve">, notamment pour l’assurance vie multi-support (UC) et améliorer </w:t>
      </w:r>
      <w:r w:rsidRPr="00E15039">
        <w:rPr>
          <w:rFonts w:ascii="Calibri" w:eastAsia="Times New Roman" w:hAnsi="Calibri" w:cs="Calibri"/>
          <w:bCs/>
          <w:iCs/>
          <w:szCs w:val="24"/>
          <w:lang w:eastAsia="fr-FR"/>
        </w:rPr>
        <w:t>la pertinence et de l'objectivité du conseil</w:t>
      </w:r>
      <w:r w:rsidRPr="00E15039">
        <w:rPr>
          <w:rFonts w:ascii="Calibri" w:eastAsia="Times New Roman" w:hAnsi="Calibri" w:cs="Calibri"/>
          <w:b/>
          <w:bCs/>
          <w:iCs/>
          <w:szCs w:val="24"/>
          <w:lang w:eastAsia="fr-FR"/>
        </w:rPr>
        <w:t xml:space="preserve"> </w:t>
      </w:r>
      <w:r w:rsidRPr="00294D8C">
        <w:rPr>
          <w:rFonts w:ascii="Calibri" w:eastAsia="Times New Roman" w:hAnsi="Calibri" w:cs="Calibri"/>
          <w:iCs/>
          <w:color w:val="000000"/>
          <w:szCs w:val="24"/>
          <w:lang w:eastAsia="fr-FR"/>
        </w:rPr>
        <w:t xml:space="preserve">en assurance </w:t>
      </w:r>
    </w:p>
    <w:p w:rsidR="00E15039" w:rsidRPr="00294D8C" w:rsidRDefault="00E15039" w:rsidP="00E15039">
      <w:pPr>
        <w:pStyle w:val="Paragraphedeliste"/>
        <w:numPr>
          <w:ilvl w:val="0"/>
          <w:numId w:val="13"/>
        </w:numPr>
        <w:shd w:val="clear" w:color="auto" w:fill="FFFFFF"/>
        <w:spacing w:before="100" w:beforeAutospacing="1" w:after="0" w:line="312" w:lineRule="atLeast"/>
        <w:jc w:val="both"/>
        <w:rPr>
          <w:rFonts w:ascii="Calibri" w:eastAsia="Times New Roman" w:hAnsi="Calibri" w:cs="Calibri"/>
          <w:iCs/>
          <w:color w:val="000000"/>
          <w:szCs w:val="24"/>
          <w:lang w:eastAsia="fr-FR"/>
        </w:rPr>
      </w:pPr>
      <w:r w:rsidRPr="00FB1D3B">
        <w:rPr>
          <w:b/>
          <w:color w:val="0099CC"/>
        </w:rPr>
        <w:t>Harmoniser le cadre règlementaire</w:t>
      </w:r>
      <w:r w:rsidRPr="00E15039">
        <w:rPr>
          <w:rFonts w:ascii="Calibri" w:eastAsia="Times New Roman" w:hAnsi="Calibri" w:cs="Calibri"/>
          <w:b/>
          <w:bCs/>
          <w:iCs/>
          <w:color w:val="00B0F0"/>
          <w:szCs w:val="24"/>
          <w:lang w:eastAsia="fr-FR"/>
        </w:rPr>
        <w:t xml:space="preserve"> </w:t>
      </w:r>
      <w:r w:rsidRPr="00294D8C">
        <w:rPr>
          <w:rFonts w:ascii="Calibri" w:eastAsia="Times New Roman" w:hAnsi="Calibri" w:cs="Calibri"/>
          <w:iCs/>
          <w:color w:val="000000"/>
          <w:szCs w:val="24"/>
          <w:lang w:eastAsia="fr-FR"/>
        </w:rPr>
        <w:t xml:space="preserve">de l’assurance de détail applicable aux différents marchés européens et introduire des conditions de </w:t>
      </w:r>
      <w:r w:rsidRPr="008614FF">
        <w:rPr>
          <w:rFonts w:ascii="Calibri" w:eastAsia="Times New Roman" w:hAnsi="Calibri" w:cs="Calibri"/>
          <w:iCs/>
          <w:color w:val="000000"/>
          <w:szCs w:val="24"/>
          <w:lang w:eastAsia="fr-FR"/>
        </w:rPr>
        <w:t>concurrence loyale</w:t>
      </w:r>
      <w:r w:rsidRPr="00294D8C">
        <w:rPr>
          <w:rFonts w:ascii="Calibri" w:eastAsia="Times New Roman" w:hAnsi="Calibri" w:cs="Calibri"/>
          <w:b/>
          <w:bCs/>
          <w:iCs/>
          <w:color w:val="000000"/>
          <w:szCs w:val="24"/>
          <w:lang w:eastAsia="fr-FR"/>
        </w:rPr>
        <w:t xml:space="preserve"> </w:t>
      </w:r>
      <w:r w:rsidRPr="00294D8C">
        <w:rPr>
          <w:rFonts w:ascii="Calibri" w:eastAsia="Times New Roman" w:hAnsi="Calibri" w:cs="Calibri"/>
          <w:iCs/>
          <w:color w:val="000000"/>
          <w:szCs w:val="24"/>
          <w:lang w:eastAsia="fr-FR"/>
        </w:rPr>
        <w:t xml:space="preserve">entre distributeurs de produits d'assurance </w:t>
      </w:r>
    </w:p>
    <w:p w:rsidR="00E15039" w:rsidRPr="00294D8C" w:rsidRDefault="00E15039" w:rsidP="00E15039">
      <w:pPr>
        <w:numPr>
          <w:ilvl w:val="0"/>
          <w:numId w:val="13"/>
        </w:numPr>
        <w:shd w:val="clear" w:color="auto" w:fill="FFFFFF"/>
        <w:spacing w:before="100" w:beforeAutospacing="1" w:after="0" w:line="312" w:lineRule="atLeast"/>
        <w:jc w:val="both"/>
        <w:rPr>
          <w:rFonts w:ascii="Calibri" w:eastAsia="Times New Roman" w:hAnsi="Calibri" w:cs="Calibri"/>
          <w:iCs/>
          <w:color w:val="000000"/>
          <w:szCs w:val="24"/>
          <w:lang w:eastAsia="fr-FR"/>
        </w:rPr>
      </w:pPr>
      <w:r w:rsidRPr="00FB1D3B">
        <w:rPr>
          <w:b/>
          <w:color w:val="0099CC"/>
        </w:rPr>
        <w:t>Renforcer les sanctions administratives et élargir le champ d’intervention</w:t>
      </w:r>
      <w:r w:rsidRPr="00E15039">
        <w:rPr>
          <w:rFonts w:ascii="Calibri" w:eastAsia="Times New Roman" w:hAnsi="Calibri" w:cs="Calibri"/>
          <w:b/>
          <w:bCs/>
          <w:iCs/>
          <w:color w:val="00B0F0"/>
          <w:szCs w:val="24"/>
          <w:lang w:eastAsia="fr-FR"/>
        </w:rPr>
        <w:t xml:space="preserve"> </w:t>
      </w:r>
      <w:r w:rsidRPr="00294D8C">
        <w:rPr>
          <w:rFonts w:ascii="Calibri" w:eastAsia="Times New Roman" w:hAnsi="Calibri" w:cs="Calibri"/>
          <w:iCs/>
          <w:color w:val="000000"/>
          <w:szCs w:val="24"/>
          <w:lang w:eastAsia="fr-FR"/>
        </w:rPr>
        <w:t xml:space="preserve">des autorités nationales compétentes (ANC) </w:t>
      </w:r>
    </w:p>
    <w:p w:rsidR="00E15039" w:rsidRPr="00294D8C" w:rsidRDefault="00E15039" w:rsidP="00E15039">
      <w:pPr>
        <w:numPr>
          <w:ilvl w:val="0"/>
          <w:numId w:val="13"/>
        </w:numPr>
        <w:shd w:val="clear" w:color="auto" w:fill="FFFFFF"/>
        <w:spacing w:before="100" w:beforeAutospacing="1" w:after="0" w:line="312" w:lineRule="atLeast"/>
        <w:jc w:val="both"/>
        <w:rPr>
          <w:rFonts w:ascii="Calibri" w:eastAsia="Times New Roman" w:hAnsi="Calibri" w:cs="Calibri"/>
          <w:iCs/>
          <w:color w:val="000000"/>
          <w:szCs w:val="24"/>
          <w:lang w:eastAsia="fr-FR"/>
        </w:rPr>
      </w:pPr>
      <w:r w:rsidRPr="00FB1D3B">
        <w:rPr>
          <w:b/>
          <w:color w:val="0099CC"/>
        </w:rPr>
        <w:t>Faciliter les activités transfrontalières</w:t>
      </w:r>
      <w:r w:rsidRPr="00E15039">
        <w:rPr>
          <w:rFonts w:ascii="Calibri" w:eastAsia="Times New Roman" w:hAnsi="Calibri" w:cs="Calibri"/>
          <w:b/>
          <w:bCs/>
          <w:iCs/>
          <w:color w:val="00B0F0"/>
          <w:szCs w:val="24"/>
          <w:lang w:eastAsia="fr-FR"/>
        </w:rPr>
        <w:t xml:space="preserve"> </w:t>
      </w:r>
      <w:r w:rsidRPr="00294D8C">
        <w:rPr>
          <w:rFonts w:ascii="Calibri" w:eastAsia="Times New Roman" w:hAnsi="Calibri" w:cs="Calibri"/>
          <w:iCs/>
          <w:color w:val="000000"/>
          <w:szCs w:val="24"/>
          <w:lang w:eastAsia="fr-FR"/>
        </w:rPr>
        <w:t>des compagnies d’assurance</w:t>
      </w:r>
    </w:p>
    <w:p w:rsidR="00E52F17" w:rsidRPr="00C65DC5" w:rsidRDefault="00A40F85" w:rsidP="00C65DC5">
      <w:pPr>
        <w:shd w:val="clear" w:color="auto" w:fill="FFFFFF"/>
        <w:spacing w:before="100" w:beforeAutospacing="1" w:after="0" w:line="312" w:lineRule="atLeast"/>
        <w:ind w:left="357" w:firstLine="0"/>
        <w:jc w:val="both"/>
        <w:rPr>
          <w:rFonts w:ascii="Calibri" w:eastAsia="Times New Roman" w:hAnsi="Calibri" w:cs="Calibri"/>
          <w:iCs/>
          <w:color w:val="000000"/>
          <w:szCs w:val="24"/>
          <w:lang w:eastAsia="fr-FR"/>
        </w:rPr>
      </w:pPr>
      <w:r w:rsidRPr="00A40F85">
        <w:rPr>
          <w:rFonts w:ascii="Calibri" w:eastAsia="Times New Roman" w:hAnsi="Calibri" w:cs="Calibri"/>
          <w:iCs/>
          <w:color w:val="000000"/>
          <w:szCs w:val="24"/>
          <w:lang w:eastAsia="fr-FR"/>
        </w:rPr>
        <w:t xml:space="preserve">L’une des principales caractéristiques de la DDA est notamment son </w:t>
      </w:r>
      <w:r>
        <w:rPr>
          <w:rFonts w:ascii="Calibri" w:eastAsia="Times New Roman" w:hAnsi="Calibri" w:cs="Calibri"/>
          <w:iCs/>
          <w:color w:val="000000"/>
          <w:szCs w:val="24"/>
          <w:lang w:eastAsia="fr-FR"/>
        </w:rPr>
        <w:t>champ</w:t>
      </w:r>
      <w:r w:rsidRPr="00A40F85">
        <w:rPr>
          <w:rFonts w:ascii="Calibri" w:eastAsia="Times New Roman" w:hAnsi="Calibri" w:cs="Calibri"/>
          <w:iCs/>
          <w:color w:val="000000"/>
          <w:szCs w:val="24"/>
          <w:lang w:eastAsia="fr-FR"/>
        </w:rPr>
        <w:t xml:space="preserve"> d’</w:t>
      </w:r>
      <w:r>
        <w:rPr>
          <w:rFonts w:ascii="Calibri" w:eastAsia="Times New Roman" w:hAnsi="Calibri" w:cs="Calibri"/>
          <w:iCs/>
          <w:color w:val="000000"/>
          <w:szCs w:val="24"/>
          <w:lang w:eastAsia="fr-FR"/>
        </w:rPr>
        <w:t>application</w:t>
      </w:r>
      <w:r w:rsidR="008F4BDF">
        <w:rPr>
          <w:rFonts w:ascii="Calibri" w:eastAsia="Times New Roman" w:hAnsi="Calibri" w:cs="Calibri"/>
          <w:iCs/>
          <w:color w:val="000000"/>
          <w:szCs w:val="24"/>
          <w:lang w:eastAsia="fr-FR"/>
        </w:rPr>
        <w:t xml:space="preserve"> puisque ses obligations</w:t>
      </w:r>
      <w:r w:rsidRPr="00A40F85">
        <w:rPr>
          <w:rFonts w:ascii="Calibri" w:eastAsia="Times New Roman" w:hAnsi="Calibri" w:cs="Calibri"/>
          <w:iCs/>
          <w:color w:val="000000"/>
          <w:szCs w:val="24"/>
          <w:lang w:eastAsia="fr-FR"/>
        </w:rPr>
        <w:t xml:space="preserve"> </w:t>
      </w:r>
      <w:r w:rsidR="008F4BDF">
        <w:rPr>
          <w:rFonts w:ascii="Calibri" w:eastAsia="Times New Roman" w:hAnsi="Calibri" w:cs="Calibri"/>
          <w:iCs/>
          <w:color w:val="000000"/>
          <w:szCs w:val="24"/>
          <w:lang w:eastAsia="fr-FR"/>
        </w:rPr>
        <w:t>impacteront</w:t>
      </w:r>
      <w:r>
        <w:rPr>
          <w:rFonts w:ascii="Calibri" w:eastAsia="Times New Roman" w:hAnsi="Calibri" w:cs="Calibri"/>
          <w:iCs/>
          <w:color w:val="000000"/>
          <w:szCs w:val="24"/>
          <w:lang w:eastAsia="fr-FR"/>
        </w:rPr>
        <w:t xml:space="preserve"> </w:t>
      </w:r>
      <w:r w:rsidRPr="00235EA7">
        <w:rPr>
          <w:b/>
          <w:color w:val="0099CC"/>
        </w:rPr>
        <w:t>l’ensemble des acteurs du marché</w:t>
      </w:r>
      <w:r>
        <w:rPr>
          <w:rFonts w:ascii="Calibri" w:eastAsia="Times New Roman" w:hAnsi="Calibri" w:cs="Calibri"/>
          <w:iCs/>
          <w:color w:val="000000"/>
          <w:szCs w:val="24"/>
          <w:lang w:eastAsia="fr-FR"/>
        </w:rPr>
        <w:t xml:space="preserve"> : producteurs et porteurs de risques comme distributeurs, quel que soit leur statut </w:t>
      </w:r>
      <w:r w:rsidRPr="00A40F85">
        <w:rPr>
          <w:rFonts w:ascii="Calibri" w:eastAsia="Times New Roman" w:hAnsi="Calibri" w:cs="Calibri"/>
          <w:iCs/>
          <w:color w:val="000000"/>
          <w:szCs w:val="24"/>
          <w:lang w:eastAsia="fr-FR"/>
        </w:rPr>
        <w:t>(salariés, intermédiaires, partenaires…)</w:t>
      </w:r>
      <w:r>
        <w:rPr>
          <w:rFonts w:ascii="Calibri" w:eastAsia="Times New Roman" w:hAnsi="Calibri" w:cs="Calibri"/>
          <w:iCs/>
          <w:color w:val="000000"/>
          <w:szCs w:val="24"/>
          <w:lang w:eastAsia="fr-FR"/>
        </w:rPr>
        <w:t xml:space="preserve">. Du </w:t>
      </w:r>
      <w:r w:rsidR="00C65DC5">
        <w:rPr>
          <w:rFonts w:ascii="Calibri" w:eastAsia="Times New Roman" w:hAnsi="Calibri" w:cs="Calibri"/>
          <w:iCs/>
          <w:color w:val="000000"/>
          <w:szCs w:val="24"/>
          <w:lang w:eastAsia="fr-FR"/>
        </w:rPr>
        <w:t xml:space="preserve">point de vue des produits </w:t>
      </w:r>
      <w:r w:rsidR="005C6CAF">
        <w:rPr>
          <w:rFonts w:ascii="Calibri" w:eastAsia="Times New Roman" w:hAnsi="Calibri" w:cs="Calibri"/>
          <w:iCs/>
          <w:color w:val="000000"/>
          <w:szCs w:val="24"/>
          <w:lang w:eastAsia="fr-FR"/>
        </w:rPr>
        <w:t>le périmètre s’élargit également</w:t>
      </w:r>
      <w:r w:rsidR="00C65DC5" w:rsidRPr="00C65DC5">
        <w:rPr>
          <w:rFonts w:ascii="Calibri" w:eastAsia="Times New Roman" w:hAnsi="Calibri" w:cs="Calibri"/>
          <w:iCs/>
          <w:color w:val="000000"/>
          <w:szCs w:val="24"/>
          <w:lang w:eastAsia="fr-FR"/>
        </w:rPr>
        <w:t xml:space="preserve"> à</w:t>
      </w:r>
      <w:r w:rsidR="00C65DC5" w:rsidRPr="00C65DC5">
        <w:rPr>
          <w:rFonts w:ascii="Calibri" w:eastAsia="Times New Roman" w:hAnsi="Calibri" w:cs="Calibri"/>
          <w:bCs/>
          <w:iCs/>
          <w:color w:val="000000"/>
        </w:rPr>
        <w:t xml:space="preserve"> </w:t>
      </w:r>
      <w:r w:rsidR="00C65DC5" w:rsidRPr="00235EA7">
        <w:rPr>
          <w:b/>
          <w:color w:val="0099CC"/>
        </w:rPr>
        <w:t>l’ensemble des produits d’assurance</w:t>
      </w:r>
      <w:r w:rsidR="00C65DC5" w:rsidRPr="00C65DC5">
        <w:rPr>
          <w:rFonts w:ascii="Calibri" w:eastAsia="Times New Roman" w:hAnsi="Calibri" w:cs="Calibri"/>
          <w:bCs/>
          <w:iCs/>
          <w:color w:val="000000"/>
        </w:rPr>
        <w:t xml:space="preserve"> </w:t>
      </w:r>
      <w:r w:rsidR="005C6CAF">
        <w:rPr>
          <w:rFonts w:ascii="Calibri" w:eastAsia="Times New Roman" w:hAnsi="Calibri" w:cs="Calibri"/>
          <w:bCs/>
          <w:iCs/>
          <w:color w:val="000000"/>
        </w:rPr>
        <w:t>(</w:t>
      </w:r>
      <w:r w:rsidR="000C7D06" w:rsidRPr="00C65DC5">
        <w:rPr>
          <w:rFonts w:ascii="Calibri" w:eastAsia="Times New Roman" w:hAnsi="Calibri" w:cs="Calibri"/>
          <w:bCs/>
          <w:iCs/>
          <w:color w:val="000000"/>
          <w:szCs w:val="24"/>
          <w:lang w:eastAsia="fr-FR"/>
        </w:rPr>
        <w:t>y compris l’IARD</w:t>
      </w:r>
      <w:r w:rsidR="005C6CAF">
        <w:rPr>
          <w:rFonts w:ascii="Calibri" w:eastAsia="Times New Roman" w:hAnsi="Calibri" w:cs="Calibri"/>
          <w:bCs/>
          <w:iCs/>
          <w:color w:val="000000"/>
          <w:szCs w:val="24"/>
          <w:lang w:eastAsia="fr-FR"/>
        </w:rPr>
        <w:t>)</w:t>
      </w:r>
      <w:r w:rsidR="00C65DC5">
        <w:rPr>
          <w:rFonts w:ascii="Calibri" w:eastAsia="Times New Roman" w:hAnsi="Calibri" w:cs="Calibri"/>
          <w:bCs/>
          <w:iCs/>
          <w:color w:val="000000"/>
          <w:szCs w:val="24"/>
          <w:lang w:eastAsia="fr-FR"/>
        </w:rPr>
        <w:t xml:space="preserve"> </w:t>
      </w:r>
      <w:r w:rsidR="005C6CAF">
        <w:rPr>
          <w:rFonts w:ascii="Calibri" w:eastAsia="Times New Roman" w:hAnsi="Calibri" w:cs="Calibri"/>
          <w:bCs/>
          <w:iCs/>
          <w:color w:val="000000"/>
          <w:szCs w:val="24"/>
          <w:lang w:eastAsia="fr-FR"/>
        </w:rPr>
        <w:t>et l</w:t>
      </w:r>
      <w:r w:rsidR="00C65DC5">
        <w:rPr>
          <w:rFonts w:ascii="Calibri" w:eastAsia="Times New Roman" w:hAnsi="Calibri" w:cs="Calibri"/>
          <w:bCs/>
          <w:iCs/>
          <w:color w:val="000000"/>
          <w:szCs w:val="24"/>
          <w:lang w:eastAsia="fr-FR"/>
        </w:rPr>
        <w:t>es règles</w:t>
      </w:r>
      <w:r w:rsidR="005C6CAF">
        <w:rPr>
          <w:rFonts w:ascii="Calibri" w:eastAsia="Times New Roman" w:hAnsi="Calibri" w:cs="Calibri"/>
          <w:bCs/>
          <w:iCs/>
          <w:color w:val="000000"/>
          <w:szCs w:val="24"/>
          <w:lang w:eastAsia="fr-FR"/>
        </w:rPr>
        <w:t xml:space="preserve"> sont</w:t>
      </w:r>
      <w:r w:rsidR="00C65DC5">
        <w:rPr>
          <w:rFonts w:ascii="Calibri" w:eastAsia="Times New Roman" w:hAnsi="Calibri" w:cs="Calibri"/>
          <w:bCs/>
          <w:iCs/>
          <w:color w:val="000000"/>
          <w:szCs w:val="24"/>
          <w:lang w:eastAsia="fr-FR"/>
        </w:rPr>
        <w:t xml:space="preserve"> renforcées pour les </w:t>
      </w:r>
      <w:r w:rsidR="00C65DC5" w:rsidRPr="00235EA7">
        <w:rPr>
          <w:b/>
          <w:color w:val="0099CC"/>
        </w:rPr>
        <w:t>produits d’épargne</w:t>
      </w:r>
      <w:r w:rsidR="00C65DC5">
        <w:rPr>
          <w:rFonts w:ascii="Calibri" w:eastAsia="Times New Roman" w:hAnsi="Calibri" w:cs="Calibri"/>
          <w:bCs/>
          <w:iCs/>
          <w:color w:val="000000"/>
          <w:szCs w:val="24"/>
          <w:lang w:eastAsia="fr-FR"/>
        </w:rPr>
        <w:t xml:space="preserve"> (</w:t>
      </w:r>
      <w:r w:rsidR="00C65DC5" w:rsidRPr="00C65DC5">
        <w:rPr>
          <w:rFonts w:ascii="Calibri" w:eastAsia="Times New Roman" w:hAnsi="Calibri" w:cs="Calibri"/>
          <w:iCs/>
          <w:color w:val="000000"/>
          <w:szCs w:val="24"/>
          <w:lang w:eastAsia="fr-FR"/>
        </w:rPr>
        <w:t>produits d’investissement fondés sur l’assurance, PIA)</w:t>
      </w:r>
      <w:r w:rsidR="00C65DC5">
        <w:rPr>
          <w:rFonts w:ascii="Calibri" w:eastAsia="Times New Roman" w:hAnsi="Calibri" w:cs="Calibri"/>
          <w:iCs/>
          <w:color w:val="000000"/>
          <w:szCs w:val="24"/>
          <w:lang w:eastAsia="fr-FR"/>
        </w:rPr>
        <w:t>.</w:t>
      </w:r>
    </w:p>
    <w:p w:rsidR="0033401C" w:rsidRPr="00A40F85" w:rsidRDefault="0033401C" w:rsidP="00A40F85">
      <w:pPr>
        <w:shd w:val="clear" w:color="auto" w:fill="FFFFFF"/>
        <w:spacing w:before="100" w:beforeAutospacing="1" w:after="0" w:line="312" w:lineRule="atLeast"/>
        <w:ind w:left="284" w:firstLine="0"/>
        <w:jc w:val="both"/>
        <w:rPr>
          <w:rFonts w:ascii="Calibri" w:eastAsia="Times New Roman" w:hAnsi="Calibri" w:cs="Calibri"/>
          <w:iCs/>
          <w:color w:val="000000"/>
          <w:szCs w:val="24"/>
          <w:lang w:eastAsia="fr-FR"/>
        </w:rPr>
      </w:pPr>
    </w:p>
    <w:p w:rsidR="00E83AC1" w:rsidRDefault="00E83AC1">
      <w:pPr>
        <w:rPr>
          <w:b/>
        </w:rPr>
      </w:pPr>
      <w:r>
        <w:rPr>
          <w:b/>
        </w:rPr>
        <w:br w:type="page"/>
      </w:r>
    </w:p>
    <w:p w:rsidR="00FD1C76" w:rsidRDefault="00FB1D3B" w:rsidP="00FD1C76">
      <w:pPr>
        <w:ind w:left="426" w:hanging="142"/>
        <w:jc w:val="both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299085</wp:posOffset>
            </wp:positionV>
            <wp:extent cx="5753100" cy="2068195"/>
            <wp:effectExtent l="0" t="0" r="0" b="8255"/>
            <wp:wrapThrough wrapText="bothSides">
              <wp:wrapPolygon edited="0">
                <wp:start x="0" y="0"/>
                <wp:lineTo x="0" y="21487"/>
                <wp:lineTo x="21528" y="21487"/>
                <wp:lineTo x="21528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6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C76">
        <w:rPr>
          <w:b/>
        </w:rPr>
        <w:t>Un délai de mise en conformité resserré au vu du périmètre et des impacts concernés</w:t>
      </w:r>
    </w:p>
    <w:p w:rsidR="00FB1D3B" w:rsidRDefault="00FB1D3B" w:rsidP="00FD1C76">
      <w:pPr>
        <w:ind w:left="284" w:firstLine="0"/>
        <w:jc w:val="both"/>
      </w:pPr>
    </w:p>
    <w:p w:rsidR="00BB649F" w:rsidRDefault="00FD1C76" w:rsidP="00FD1C76">
      <w:pPr>
        <w:ind w:left="284" w:firstLine="0"/>
        <w:jc w:val="both"/>
      </w:pPr>
      <w:r>
        <w:t xml:space="preserve">La DDA est un chantier réglementaire dont l’échéance est prévue pour le </w:t>
      </w:r>
      <w:r w:rsidRPr="00FB1D3B">
        <w:rPr>
          <w:b/>
          <w:color w:val="0099CC"/>
        </w:rPr>
        <w:t>23 février 2018</w:t>
      </w:r>
      <w:r>
        <w:t>. A moins d’un an de la date butoir, la publication des avis techniques de l’EIOPA fournit d</w:t>
      </w:r>
      <w:r w:rsidR="00F03373">
        <w:t xml:space="preserve">éjà des lignes directrices. </w:t>
      </w:r>
    </w:p>
    <w:p w:rsidR="00BA5628" w:rsidRDefault="00BA5628" w:rsidP="00FD1C76">
      <w:pPr>
        <w:ind w:left="284" w:firstLine="0"/>
        <w:jc w:val="both"/>
      </w:pPr>
      <w:r>
        <w:t>A titre d’exemple, l’EIOPA</w:t>
      </w:r>
      <w:r w:rsidR="00A40D74">
        <w:t xml:space="preserve"> a publié une proposition de format</w:t>
      </w:r>
      <w:r>
        <w:t xml:space="preserve"> concernant </w:t>
      </w:r>
      <w:r w:rsidR="00A40D74">
        <w:t>le</w:t>
      </w:r>
      <w:r>
        <w:t xml:space="preserve"> </w:t>
      </w:r>
      <w:r w:rsidR="00A40D74" w:rsidRPr="00A40D74">
        <w:t>document d’information standardisé (</w:t>
      </w:r>
      <w:r w:rsidR="00A40D74" w:rsidRPr="00A40D74">
        <w:rPr>
          <w:b/>
          <w:bCs/>
        </w:rPr>
        <w:t>IPID</w:t>
      </w:r>
      <w:r w:rsidR="00A40D74" w:rsidRPr="00A40D74">
        <w:t>) qui doit rendre l’information sur les produits d’assurance non-vie « plus claire et précise » pour les clients, facilitant ainsi leur comparaison.</w:t>
      </w:r>
    </w:p>
    <w:p w:rsidR="00A40D74" w:rsidRDefault="00A40D74" w:rsidP="00FD1C76">
      <w:pPr>
        <w:ind w:left="284" w:firstLine="0"/>
        <w:jc w:val="both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201295</wp:posOffset>
            </wp:positionV>
            <wp:extent cx="2259330" cy="3208020"/>
            <wp:effectExtent l="0" t="0" r="7620" b="0"/>
            <wp:wrapThrough wrapText="bothSides">
              <wp:wrapPolygon edited="0">
                <wp:start x="0" y="0"/>
                <wp:lineTo x="0" y="21420"/>
                <wp:lineTo x="21491" y="21420"/>
                <wp:lineTo x="21491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33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0D74" w:rsidRDefault="00E83AC1" w:rsidP="00FD1C76">
      <w:pPr>
        <w:ind w:left="284" w:firstLine="0"/>
        <w:jc w:val="both"/>
      </w:pPr>
      <w:r w:rsidRPr="00A40D74">
        <w:rPr>
          <w:noProof/>
          <w:highlight w:val="yellow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2658745</wp:posOffset>
            </wp:positionH>
            <wp:positionV relativeFrom="paragraph">
              <wp:posOffset>135255</wp:posOffset>
            </wp:positionV>
            <wp:extent cx="3101340" cy="2697480"/>
            <wp:effectExtent l="0" t="0" r="3810" b="0"/>
            <wp:wrapThrough wrapText="bothSides">
              <wp:wrapPolygon edited="0">
                <wp:start x="2256" y="0"/>
                <wp:lineTo x="2123" y="2593"/>
                <wp:lineTo x="133" y="2746"/>
                <wp:lineTo x="0" y="2898"/>
                <wp:lineTo x="0" y="18000"/>
                <wp:lineTo x="1459" y="19678"/>
                <wp:lineTo x="2123" y="19678"/>
                <wp:lineTo x="2123" y="21203"/>
                <wp:lineTo x="21494" y="21203"/>
                <wp:lineTo x="21494" y="0"/>
                <wp:lineTo x="2256" y="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0D74" w:rsidRDefault="00A40D74" w:rsidP="00FD1C76">
      <w:pPr>
        <w:ind w:left="284" w:firstLine="0"/>
        <w:jc w:val="both"/>
      </w:pPr>
    </w:p>
    <w:p w:rsidR="00A40D74" w:rsidRDefault="00A40D74" w:rsidP="00FD1C76">
      <w:pPr>
        <w:ind w:left="284" w:firstLine="0"/>
        <w:jc w:val="both"/>
      </w:pPr>
    </w:p>
    <w:p w:rsidR="00A40D74" w:rsidRDefault="00A40D74" w:rsidP="00FD1C76">
      <w:pPr>
        <w:ind w:left="284" w:firstLine="0"/>
        <w:jc w:val="both"/>
      </w:pPr>
    </w:p>
    <w:p w:rsidR="00A40D74" w:rsidRDefault="00A40D74" w:rsidP="00A40D74">
      <w:pPr>
        <w:ind w:left="284" w:firstLine="0"/>
        <w:jc w:val="both"/>
        <w:rPr>
          <w:b/>
          <w:highlight w:val="yellow"/>
        </w:rPr>
      </w:pPr>
    </w:p>
    <w:p w:rsidR="00F03373" w:rsidRDefault="00F03373" w:rsidP="00F03373">
      <w:pPr>
        <w:ind w:left="284" w:firstLine="0"/>
        <w:jc w:val="both"/>
      </w:pPr>
      <w:r>
        <w:t>L</w:t>
      </w:r>
      <w:r w:rsidRPr="001D4548">
        <w:t xml:space="preserve">es professionnels de l’assurance restent </w:t>
      </w:r>
      <w:r>
        <w:t xml:space="preserve">néanmoins </w:t>
      </w:r>
      <w:r w:rsidRPr="001D4548">
        <w:t>toujours en attente des actes délégués visant à transposer la directive en droit national</w:t>
      </w:r>
      <w:r>
        <w:t>.</w:t>
      </w:r>
    </w:p>
    <w:p w:rsidR="00A40D74" w:rsidRDefault="00A40D74" w:rsidP="00A40D74">
      <w:pPr>
        <w:ind w:left="284" w:firstLine="0"/>
        <w:jc w:val="both"/>
        <w:rPr>
          <w:b/>
          <w:highlight w:val="yellow"/>
        </w:rPr>
      </w:pPr>
    </w:p>
    <w:p w:rsidR="004371EA" w:rsidRDefault="004371EA" w:rsidP="00A40D74">
      <w:pPr>
        <w:ind w:left="284" w:firstLine="0"/>
        <w:jc w:val="both"/>
        <w:rPr>
          <w:b/>
          <w:highlight w:val="yellow"/>
        </w:rPr>
      </w:pPr>
    </w:p>
    <w:p w:rsidR="00FD1C76" w:rsidRPr="00FB1D3B" w:rsidRDefault="00FD1C76" w:rsidP="00FD1C76">
      <w:pPr>
        <w:rPr>
          <w:rFonts w:ascii="Arial" w:hAnsi="Arial" w:cs="Arial"/>
          <w:b/>
        </w:rPr>
      </w:pPr>
      <w:r w:rsidRPr="00FB1D3B">
        <w:rPr>
          <w:rFonts w:ascii="Arial" w:hAnsi="Arial" w:cs="Arial"/>
          <w:b/>
        </w:rPr>
        <w:lastRenderedPageBreak/>
        <w:t>Quels enjeux pour demain ?</w:t>
      </w:r>
    </w:p>
    <w:p w:rsidR="00C07018" w:rsidRPr="00C07018" w:rsidRDefault="00A40F85" w:rsidP="00C07018">
      <w:pPr>
        <w:ind w:left="284" w:firstLine="0"/>
        <w:jc w:val="both"/>
      </w:pPr>
      <w:r>
        <w:t>C</w:t>
      </w:r>
      <w:r w:rsidR="00C07018" w:rsidRPr="00294D8C">
        <w:t xml:space="preserve">ette directive induit de </w:t>
      </w:r>
      <w:r w:rsidR="00C07018" w:rsidRPr="00FB1D3B">
        <w:rPr>
          <w:b/>
          <w:color w:val="0099CC"/>
        </w:rPr>
        <w:t>profonds changements</w:t>
      </w:r>
      <w:r w:rsidR="008F4BDF">
        <w:t xml:space="preserve"> et va</w:t>
      </w:r>
      <w:r w:rsidR="00C07018" w:rsidRPr="00294D8C">
        <w:t xml:space="preserve"> conduire</w:t>
      </w:r>
      <w:r w:rsidR="008F4BDF">
        <w:t xml:space="preserve"> les acteurs du marché de l’assurance</w:t>
      </w:r>
      <w:r w:rsidR="00C07018" w:rsidRPr="00294D8C">
        <w:t xml:space="preserve"> à </w:t>
      </w:r>
      <w:r w:rsidR="00C07018" w:rsidRPr="00FB1D3B">
        <w:rPr>
          <w:b/>
          <w:color w:val="0099CC"/>
        </w:rPr>
        <w:t>adapter leurs modes de fonctionnement</w:t>
      </w:r>
      <w:r w:rsidR="00C07018" w:rsidRPr="00294D8C">
        <w:t xml:space="preserve"> à des règles toujours plus protectrices des consommateurs.</w:t>
      </w:r>
    </w:p>
    <w:p w:rsidR="00FD1C76" w:rsidRPr="003D3C71" w:rsidRDefault="00FD1C76" w:rsidP="00FD1C76">
      <w:pPr>
        <w:rPr>
          <w:b/>
        </w:rPr>
      </w:pPr>
      <w:r w:rsidRPr="003D3C71">
        <w:rPr>
          <w:b/>
        </w:rPr>
        <w:t xml:space="preserve">De nouvelles </w:t>
      </w:r>
      <w:r>
        <w:rPr>
          <w:b/>
        </w:rPr>
        <w:t>obligations à intégrer</w:t>
      </w:r>
    </w:p>
    <w:p w:rsidR="00FD1C76" w:rsidRDefault="00F03373" w:rsidP="00B8467B">
      <w:pPr>
        <w:ind w:left="284" w:firstLine="0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064CE2D2" wp14:editId="4EA65174">
            <wp:simplePos x="0" y="0"/>
            <wp:positionH relativeFrom="column">
              <wp:posOffset>205105</wp:posOffset>
            </wp:positionH>
            <wp:positionV relativeFrom="paragraph">
              <wp:posOffset>534035</wp:posOffset>
            </wp:positionV>
            <wp:extent cx="5759450" cy="3416300"/>
            <wp:effectExtent l="0" t="0" r="0" b="0"/>
            <wp:wrapThrough wrapText="bothSides">
              <wp:wrapPolygon edited="0">
                <wp:start x="20219" y="0"/>
                <wp:lineTo x="714" y="241"/>
                <wp:lineTo x="0" y="361"/>
                <wp:lineTo x="0" y="2168"/>
                <wp:lineTo x="357" y="4095"/>
                <wp:lineTo x="357" y="7588"/>
                <wp:lineTo x="1715" y="7949"/>
                <wp:lineTo x="7430" y="7949"/>
                <wp:lineTo x="6930" y="9756"/>
                <wp:lineTo x="6930" y="11804"/>
                <wp:lineTo x="0" y="12406"/>
                <wp:lineTo x="0" y="14092"/>
                <wp:lineTo x="286" y="15658"/>
                <wp:lineTo x="357" y="21078"/>
                <wp:lineTo x="2858" y="21439"/>
                <wp:lineTo x="11931" y="21439"/>
                <wp:lineTo x="20647" y="21439"/>
                <wp:lineTo x="20790" y="21439"/>
                <wp:lineTo x="21148" y="19994"/>
                <wp:lineTo x="21148" y="15658"/>
                <wp:lineTo x="21505" y="14213"/>
                <wp:lineTo x="21505" y="13731"/>
                <wp:lineTo x="21290" y="11924"/>
                <wp:lineTo x="13860" y="11804"/>
                <wp:lineTo x="13860" y="9877"/>
                <wp:lineTo x="13503" y="8552"/>
                <wp:lineTo x="13289" y="7949"/>
                <wp:lineTo x="19219" y="7949"/>
                <wp:lineTo x="20862" y="7588"/>
                <wp:lineTo x="20790" y="4095"/>
                <wp:lineTo x="21362" y="2168"/>
                <wp:lineTo x="21219" y="1566"/>
                <wp:lineTo x="20719" y="0"/>
                <wp:lineTo x="20219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1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C76">
        <w:t>Quatre principes majeurs sous-tendent les objectifs de la DDA et s’assortissent de différentes obligations qui pèseront sur les assureurs comme sur les réseaux de distribution.</w:t>
      </w:r>
    </w:p>
    <w:p w:rsidR="00FD1C76" w:rsidRDefault="00FD1C76" w:rsidP="00FD1C76">
      <w:pPr>
        <w:ind w:left="0" w:firstLine="0"/>
        <w:jc w:val="both"/>
      </w:pPr>
    </w:p>
    <w:p w:rsidR="00FD1C76" w:rsidRDefault="00FD1C76" w:rsidP="00FD1C76">
      <w:pPr>
        <w:ind w:left="0" w:firstLine="0"/>
        <w:jc w:val="both"/>
      </w:pPr>
    </w:p>
    <w:p w:rsidR="00FD1C76" w:rsidRDefault="00FD1C76" w:rsidP="00FD1C76">
      <w:pPr>
        <w:jc w:val="both"/>
      </w:pPr>
    </w:p>
    <w:p w:rsidR="00F03373" w:rsidRDefault="00F03373" w:rsidP="00B8467B">
      <w:pPr>
        <w:ind w:left="357" w:hanging="73"/>
        <w:rPr>
          <w:b/>
        </w:rPr>
      </w:pPr>
      <w:r>
        <w:rPr>
          <w:b/>
        </w:rPr>
        <w:t xml:space="preserve">Les </w:t>
      </w:r>
      <w:r w:rsidR="00B8467B">
        <w:rPr>
          <w:b/>
        </w:rPr>
        <w:t>grands impacts</w:t>
      </w:r>
    </w:p>
    <w:p w:rsidR="00B8467B" w:rsidRDefault="00B8467B" w:rsidP="00B8467B">
      <w:pPr>
        <w:ind w:left="284" w:firstLine="0"/>
        <w:jc w:val="both"/>
        <w:rPr>
          <w:iCs/>
        </w:rPr>
      </w:pPr>
      <w:r w:rsidRPr="00B8467B">
        <w:rPr>
          <w:iCs/>
        </w:rPr>
        <w:t>Etant donné l’évolution du périmètre d’application et les obligations auxquelles seront bient</w:t>
      </w:r>
      <w:r>
        <w:rPr>
          <w:iCs/>
        </w:rPr>
        <w:t>ôt soumis les assureurs comme les dis</w:t>
      </w:r>
      <w:r w:rsidR="00960BBE">
        <w:rPr>
          <w:iCs/>
        </w:rPr>
        <w:t>tributeurs, différents</w:t>
      </w:r>
      <w:r>
        <w:rPr>
          <w:iCs/>
        </w:rPr>
        <w:t xml:space="preserve"> chantiers devront être lancés, tels que : </w:t>
      </w:r>
    </w:p>
    <w:p w:rsidR="00B8467B" w:rsidRDefault="00B8467B" w:rsidP="00BB649F">
      <w:pPr>
        <w:pStyle w:val="Paragraphedeliste"/>
        <w:numPr>
          <w:ilvl w:val="0"/>
          <w:numId w:val="19"/>
        </w:numPr>
        <w:jc w:val="both"/>
        <w:rPr>
          <w:iCs/>
        </w:rPr>
      </w:pPr>
      <w:r w:rsidRPr="00FB1D3B">
        <w:rPr>
          <w:b/>
          <w:color w:val="0099CC"/>
        </w:rPr>
        <w:t>Gouvernance</w:t>
      </w:r>
      <w:r w:rsidRPr="00BB649F">
        <w:rPr>
          <w:iCs/>
        </w:rPr>
        <w:t xml:space="preserve"> (refonte des stratégies de distribution et cible par produits, révision des partenariats…)</w:t>
      </w:r>
    </w:p>
    <w:p w:rsidR="00BB649F" w:rsidRDefault="00BB649F" w:rsidP="00BB649F">
      <w:pPr>
        <w:pStyle w:val="Paragraphedeliste"/>
        <w:numPr>
          <w:ilvl w:val="0"/>
          <w:numId w:val="19"/>
        </w:numPr>
        <w:jc w:val="both"/>
        <w:rPr>
          <w:iCs/>
        </w:rPr>
      </w:pPr>
      <w:r w:rsidRPr="00FB1D3B">
        <w:rPr>
          <w:b/>
          <w:color w:val="0099CC"/>
        </w:rPr>
        <w:t>Processus</w:t>
      </w:r>
      <w:r w:rsidRPr="00BB649F">
        <w:rPr>
          <w:iCs/>
        </w:rPr>
        <w:t xml:space="preserve"> (refonte des circuits et modalités de validation et distribution des produits, modalités de contrôle, …)</w:t>
      </w:r>
    </w:p>
    <w:p w:rsidR="00BB649F" w:rsidRDefault="00B8467B" w:rsidP="00BB649F">
      <w:pPr>
        <w:pStyle w:val="Paragraphedeliste"/>
        <w:numPr>
          <w:ilvl w:val="0"/>
          <w:numId w:val="19"/>
        </w:numPr>
        <w:jc w:val="both"/>
        <w:rPr>
          <w:iCs/>
        </w:rPr>
      </w:pPr>
      <w:r w:rsidRPr="00FB1D3B">
        <w:rPr>
          <w:b/>
          <w:color w:val="0099CC"/>
        </w:rPr>
        <w:t>SI et outils</w:t>
      </w:r>
      <w:r w:rsidRPr="00BB649F">
        <w:rPr>
          <w:iCs/>
        </w:rPr>
        <w:t> (reporting distributeur / assureur, refonte des outils d’aide à la vente…)</w:t>
      </w:r>
    </w:p>
    <w:p w:rsidR="00BB649F" w:rsidRDefault="00B8467B" w:rsidP="00BB649F">
      <w:pPr>
        <w:pStyle w:val="Paragraphedeliste"/>
        <w:numPr>
          <w:ilvl w:val="0"/>
          <w:numId w:val="19"/>
        </w:numPr>
        <w:jc w:val="both"/>
        <w:rPr>
          <w:iCs/>
        </w:rPr>
      </w:pPr>
      <w:r w:rsidRPr="00FB1D3B">
        <w:rPr>
          <w:b/>
          <w:color w:val="0099CC"/>
        </w:rPr>
        <w:t>Documentation et éditique</w:t>
      </w:r>
      <w:r w:rsidRPr="00BB649F">
        <w:rPr>
          <w:iCs/>
        </w:rPr>
        <w:t xml:space="preserve"> (formalisation des IPID, mise à jour de la documentation client…)</w:t>
      </w:r>
    </w:p>
    <w:p w:rsidR="00BB649F" w:rsidRPr="00BB649F" w:rsidRDefault="00BB649F" w:rsidP="00BB649F">
      <w:pPr>
        <w:pStyle w:val="Paragraphedeliste"/>
        <w:numPr>
          <w:ilvl w:val="0"/>
          <w:numId w:val="19"/>
        </w:numPr>
        <w:jc w:val="both"/>
        <w:rPr>
          <w:iCs/>
        </w:rPr>
      </w:pPr>
      <w:r w:rsidRPr="00FB1D3B">
        <w:rPr>
          <w:b/>
          <w:color w:val="0099CC"/>
        </w:rPr>
        <w:t>RH et organisation</w:t>
      </w:r>
      <w:r w:rsidRPr="00BB649F">
        <w:rPr>
          <w:iCs/>
        </w:rPr>
        <w:t xml:space="preserve"> (respect des obligations de formation minimum, procédures en matière d’honorabilité et de compétences pour répondre aux nouvelles exigences relatives au devoir de conseil…)</w:t>
      </w:r>
    </w:p>
    <w:p w:rsidR="00FD1C76" w:rsidRPr="00BB649F" w:rsidRDefault="00FD1C76" w:rsidP="00BB649F">
      <w:pPr>
        <w:pStyle w:val="Paragraphedeliste"/>
        <w:ind w:left="1440" w:firstLine="0"/>
        <w:jc w:val="both"/>
        <w:rPr>
          <w:iCs/>
        </w:rPr>
      </w:pPr>
      <w:r w:rsidRPr="00BB649F">
        <w:rPr>
          <w:b/>
        </w:rPr>
        <w:br w:type="page"/>
      </w:r>
    </w:p>
    <w:p w:rsidR="00FD1C76" w:rsidRDefault="00FD1C76" w:rsidP="00FD1C76">
      <w:pPr>
        <w:ind w:left="708" w:hanging="424"/>
        <w:jc w:val="both"/>
        <w:rPr>
          <w:b/>
        </w:rPr>
      </w:pPr>
      <w:r>
        <w:rPr>
          <w:b/>
        </w:rPr>
        <w:lastRenderedPageBreak/>
        <w:t>Des contraintes à transformer en opportunités</w:t>
      </w:r>
    </w:p>
    <w:p w:rsidR="00FD1C76" w:rsidRDefault="00C07018" w:rsidP="00FD1C76">
      <w:pPr>
        <w:ind w:left="357" w:firstLine="0"/>
        <w:jc w:val="both"/>
      </w:pPr>
      <w:r w:rsidRPr="00C07018">
        <w:rPr>
          <w:noProof/>
          <w:highlight w:val="yellow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1259205</wp:posOffset>
            </wp:positionV>
            <wp:extent cx="5760720" cy="3585098"/>
            <wp:effectExtent l="0" t="0" r="0" b="0"/>
            <wp:wrapThrough wrapText="bothSides">
              <wp:wrapPolygon edited="0">
                <wp:start x="1714" y="0"/>
                <wp:lineTo x="571" y="344"/>
                <wp:lineTo x="71" y="918"/>
                <wp:lineTo x="71" y="2640"/>
                <wp:lineTo x="6429" y="3673"/>
                <wp:lineTo x="2214" y="3788"/>
                <wp:lineTo x="71" y="4133"/>
                <wp:lineTo x="143" y="6314"/>
                <wp:lineTo x="6429" y="7347"/>
                <wp:lineTo x="2214" y="7347"/>
                <wp:lineTo x="286" y="7691"/>
                <wp:lineTo x="286" y="10102"/>
                <wp:lineTo x="5500" y="11020"/>
                <wp:lineTo x="2286" y="11135"/>
                <wp:lineTo x="143" y="11479"/>
                <wp:lineTo x="143" y="13775"/>
                <wp:lineTo x="5786" y="14693"/>
                <wp:lineTo x="2214" y="14808"/>
                <wp:lineTo x="71" y="15153"/>
                <wp:lineTo x="71" y="17448"/>
                <wp:lineTo x="5714" y="18367"/>
                <wp:lineTo x="2143" y="18596"/>
                <wp:lineTo x="214" y="18941"/>
                <wp:lineTo x="214" y="21007"/>
                <wp:lineTo x="714" y="21351"/>
                <wp:lineTo x="1714" y="21466"/>
                <wp:lineTo x="21500" y="21466"/>
                <wp:lineTo x="21500" y="18596"/>
                <wp:lineTo x="17857" y="18367"/>
                <wp:lineTo x="21500" y="17793"/>
                <wp:lineTo x="21500" y="14808"/>
                <wp:lineTo x="17214" y="14693"/>
                <wp:lineTo x="21500" y="14005"/>
                <wp:lineTo x="21500" y="11135"/>
                <wp:lineTo x="17857" y="11020"/>
                <wp:lineTo x="21500" y="10446"/>
                <wp:lineTo x="21500" y="7347"/>
                <wp:lineTo x="17214" y="7347"/>
                <wp:lineTo x="21500" y="6658"/>
                <wp:lineTo x="21500" y="3788"/>
                <wp:lineTo x="17214" y="3673"/>
                <wp:lineTo x="21500" y="2985"/>
                <wp:lineTo x="21500" y="0"/>
                <wp:lineTo x="1714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C76" w:rsidRPr="003653A0">
        <w:t>La mise en œuvre de la DDA co</w:t>
      </w:r>
      <w:r w:rsidR="00960BBE">
        <w:t>nstitue un programme</w:t>
      </w:r>
      <w:r w:rsidR="00FD1C76" w:rsidRPr="003653A0">
        <w:t xml:space="preserve"> dont les impacts seront durables. La mise en conformité demandée c</w:t>
      </w:r>
      <w:r w:rsidR="00FD1C76">
        <w:t>oncerne à la fois les métiers et directions</w:t>
      </w:r>
      <w:r w:rsidR="00FD1C76" w:rsidRPr="003653A0">
        <w:t xml:space="preserve"> commerciales, les directions de conformité et les DRH, mais </w:t>
      </w:r>
      <w:r w:rsidR="00C53974">
        <w:t>aussi les directions techniques et</w:t>
      </w:r>
      <w:r w:rsidR="00FD1C76" w:rsidRPr="003653A0">
        <w:t xml:space="preserve"> IT. </w:t>
      </w:r>
      <w:r w:rsidR="00FD1C76">
        <w:t xml:space="preserve">L’introduction de nouveaux concepts tel que la </w:t>
      </w:r>
      <w:r w:rsidR="00FD1C76" w:rsidRPr="00FB1D3B">
        <w:rPr>
          <w:b/>
          <w:color w:val="0099CC"/>
        </w:rPr>
        <w:t>« gouvernance produit »</w:t>
      </w:r>
      <w:r w:rsidR="00FD1C76">
        <w:t xml:space="preserve"> questionne notamment le modèle de gouvernance actuel au sein de la plupart des entreprises du secteur.</w:t>
      </w:r>
    </w:p>
    <w:p w:rsidR="00FD1C76" w:rsidRDefault="00FD1C76" w:rsidP="00FD1C76">
      <w:pPr>
        <w:ind w:left="357" w:firstLine="0"/>
        <w:jc w:val="both"/>
      </w:pPr>
    </w:p>
    <w:p w:rsidR="00C53974" w:rsidRDefault="00C53974" w:rsidP="00FD1C76">
      <w:pPr>
        <w:ind w:left="357" w:firstLine="0"/>
        <w:jc w:val="both"/>
      </w:pPr>
    </w:p>
    <w:p w:rsidR="00C53974" w:rsidRDefault="00C53974" w:rsidP="00FD1C76">
      <w:pPr>
        <w:ind w:left="357" w:firstLine="0"/>
        <w:jc w:val="both"/>
      </w:pPr>
    </w:p>
    <w:p w:rsidR="00C53974" w:rsidRDefault="00C53974" w:rsidP="00FD1C76">
      <w:pPr>
        <w:ind w:left="357" w:firstLine="0"/>
        <w:jc w:val="both"/>
      </w:pPr>
    </w:p>
    <w:p w:rsidR="00FD1C76" w:rsidRDefault="00FD1C76" w:rsidP="00FD1C76">
      <w:pPr>
        <w:ind w:left="357" w:firstLine="0"/>
        <w:jc w:val="both"/>
      </w:pPr>
      <w:r>
        <w:t>A</w:t>
      </w:r>
      <w:r w:rsidRPr="003653A0">
        <w:t xml:space="preserve">u vu de son périmètre et de ses impacts, la transposition des mesures de cette directive doit être abordée comme un réel </w:t>
      </w:r>
      <w:r w:rsidRPr="00FB1D3B">
        <w:rPr>
          <w:b/>
          <w:color w:val="0099CC"/>
        </w:rPr>
        <w:t>projet d’entreprise</w:t>
      </w:r>
      <w:r>
        <w:t xml:space="preserve"> </w:t>
      </w:r>
      <w:r w:rsidR="00C53974">
        <w:t xml:space="preserve">et vécue </w:t>
      </w:r>
      <w:r>
        <w:t xml:space="preserve">comme </w:t>
      </w:r>
      <w:r w:rsidRPr="002F6C12">
        <w:t>l’occasion de se moderniser</w:t>
      </w:r>
      <w:r>
        <w:t>. C</w:t>
      </w:r>
      <w:r w:rsidRPr="00E107C5">
        <w:t>es nouvelles obligations</w:t>
      </w:r>
      <w:r w:rsidR="00C53974">
        <w:t>, si contraignantes soient-elles,</w:t>
      </w:r>
      <w:r w:rsidRPr="00E107C5">
        <w:t xml:space="preserve"> sont</w:t>
      </w:r>
      <w:r w:rsidR="00C53974">
        <w:t xml:space="preserve"> aussi</w:t>
      </w:r>
      <w:r w:rsidRPr="00E107C5">
        <w:t xml:space="preserve"> l’occasion </w:t>
      </w:r>
      <w:r w:rsidRPr="00FB1D3B">
        <w:rPr>
          <w:b/>
          <w:color w:val="0099CC"/>
        </w:rPr>
        <w:t>d’améliorer ses pratiques, d’élaborer des produits plus performants voire de développer de nouveaux leviers commerciaux</w:t>
      </w:r>
      <w:r>
        <w:t>.</w:t>
      </w:r>
      <w:r w:rsidR="00A22338">
        <w:t xml:space="preserve"> Encore faut-il savoir par quel axe démarrer….</w:t>
      </w:r>
    </w:p>
    <w:p w:rsidR="00FD1C76" w:rsidRPr="00C07018" w:rsidRDefault="00FD1C76" w:rsidP="00C07018">
      <w:pPr>
        <w:rPr>
          <w:rFonts w:ascii="Arial" w:hAnsi="Arial" w:cs="Arial"/>
          <w:b/>
          <w:highlight w:val="yellow"/>
          <w:u w:val="single"/>
        </w:rPr>
      </w:pPr>
    </w:p>
    <w:p w:rsidR="00FD1C76" w:rsidRDefault="00FD1C7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FD1C76" w:rsidRPr="00FB1D3B" w:rsidRDefault="00FD1C76" w:rsidP="00FD1C76">
      <w:pPr>
        <w:rPr>
          <w:rFonts w:ascii="Arial" w:hAnsi="Arial" w:cs="Arial"/>
          <w:b/>
        </w:rPr>
      </w:pPr>
      <w:r w:rsidRPr="00FB1D3B">
        <w:rPr>
          <w:rFonts w:ascii="Arial" w:hAnsi="Arial" w:cs="Arial"/>
          <w:b/>
        </w:rPr>
        <w:lastRenderedPageBreak/>
        <w:t>Une première étape nécessaire : un audit exhaustif pour « faire le point »</w:t>
      </w:r>
    </w:p>
    <w:p w:rsidR="00FD1C76" w:rsidRDefault="00FD1C76" w:rsidP="008F4BDF">
      <w:pPr>
        <w:tabs>
          <w:tab w:val="left" w:pos="426"/>
        </w:tabs>
        <w:ind w:left="426" w:firstLine="0"/>
        <w:jc w:val="both"/>
      </w:pPr>
      <w:r w:rsidRPr="00C8056C">
        <w:t>Le lancement des différents chantiers de mise en c</w:t>
      </w:r>
      <w:r>
        <w:t xml:space="preserve">onformité implique </w:t>
      </w:r>
      <w:r w:rsidRPr="00C8056C">
        <w:t>de définir le périmètre et l’étendue des travaux à effectuer.</w:t>
      </w:r>
      <w:r>
        <w:t xml:space="preserve"> U</w:t>
      </w:r>
      <w:r w:rsidRPr="00C8056C">
        <w:t>ne 1ère étape indispensab</w:t>
      </w:r>
      <w:r>
        <w:t>le consiste</w:t>
      </w:r>
      <w:r w:rsidRPr="00C8056C">
        <w:t xml:space="preserve"> à mener un audit pou</w:t>
      </w:r>
      <w:r>
        <w:t xml:space="preserve">r recenser l’état de l’existant afin de : </w:t>
      </w:r>
    </w:p>
    <w:p w:rsidR="00FD1C76" w:rsidRPr="00C8056C" w:rsidRDefault="00FD1C76" w:rsidP="00BB649F">
      <w:pPr>
        <w:pStyle w:val="Paragraphedeliste"/>
        <w:numPr>
          <w:ilvl w:val="0"/>
          <w:numId w:val="20"/>
        </w:numPr>
        <w:tabs>
          <w:tab w:val="left" w:pos="426"/>
        </w:tabs>
        <w:spacing w:after="0"/>
        <w:jc w:val="both"/>
      </w:pPr>
      <w:r w:rsidRPr="00FB1D3B">
        <w:rPr>
          <w:b/>
          <w:color w:val="0099CC"/>
        </w:rPr>
        <w:t>Déterminer pour chaque produit</w:t>
      </w:r>
      <w:r w:rsidRPr="00FB1D3B">
        <w:rPr>
          <w:bCs/>
        </w:rPr>
        <w:t xml:space="preserve"> :</w:t>
      </w:r>
      <w:r w:rsidRPr="00C8056C">
        <w:rPr>
          <w:b/>
          <w:bCs/>
        </w:rPr>
        <w:t xml:space="preserve"> </w:t>
      </w:r>
    </w:p>
    <w:p w:rsidR="00FD1C76" w:rsidRPr="00C8056C" w:rsidRDefault="00FD1C76" w:rsidP="00BB649F">
      <w:pPr>
        <w:numPr>
          <w:ilvl w:val="2"/>
          <w:numId w:val="22"/>
        </w:numPr>
        <w:tabs>
          <w:tab w:val="left" w:pos="426"/>
        </w:tabs>
        <w:spacing w:after="0"/>
        <w:jc w:val="both"/>
      </w:pPr>
      <w:r w:rsidRPr="00C8056C">
        <w:t xml:space="preserve">l’existence ou l’absence d’un </w:t>
      </w:r>
      <w:r w:rsidRPr="00C8056C">
        <w:rPr>
          <w:b/>
          <w:bCs/>
        </w:rPr>
        <w:t>dispositif de conception, validation et suivi des produits</w:t>
      </w:r>
    </w:p>
    <w:p w:rsidR="00FD1C76" w:rsidRPr="00C8056C" w:rsidRDefault="00FD1C76" w:rsidP="00BB649F">
      <w:pPr>
        <w:numPr>
          <w:ilvl w:val="2"/>
          <w:numId w:val="22"/>
        </w:numPr>
        <w:tabs>
          <w:tab w:val="left" w:pos="426"/>
        </w:tabs>
        <w:spacing w:after="0"/>
        <w:jc w:val="both"/>
      </w:pPr>
      <w:r w:rsidRPr="00C8056C">
        <w:t xml:space="preserve">l’existence ou l’absence d’un </w:t>
      </w:r>
      <w:r w:rsidRPr="00C8056C">
        <w:rPr>
          <w:b/>
          <w:bCs/>
        </w:rPr>
        <w:t>marché cible et anti-cible</w:t>
      </w:r>
    </w:p>
    <w:p w:rsidR="00FD1C76" w:rsidRPr="00C8056C" w:rsidRDefault="00FD1C76" w:rsidP="00BB649F">
      <w:pPr>
        <w:numPr>
          <w:ilvl w:val="2"/>
          <w:numId w:val="22"/>
        </w:numPr>
        <w:tabs>
          <w:tab w:val="left" w:pos="426"/>
        </w:tabs>
        <w:spacing w:after="0"/>
        <w:jc w:val="both"/>
      </w:pPr>
      <w:r w:rsidRPr="00C8056C">
        <w:t xml:space="preserve">l’existence ou l’absence d’une </w:t>
      </w:r>
      <w:r w:rsidRPr="00C8056C">
        <w:rPr>
          <w:b/>
          <w:bCs/>
        </w:rPr>
        <w:t>stratégie et modes de distribution adaptés</w:t>
      </w:r>
    </w:p>
    <w:p w:rsidR="00FD1C76" w:rsidRPr="00C8056C" w:rsidRDefault="00FD1C76" w:rsidP="00BB649F">
      <w:pPr>
        <w:numPr>
          <w:ilvl w:val="2"/>
          <w:numId w:val="22"/>
        </w:numPr>
        <w:tabs>
          <w:tab w:val="left" w:pos="426"/>
        </w:tabs>
        <w:jc w:val="both"/>
      </w:pPr>
      <w:r>
        <w:t>l’existence ou l’absence d’un</w:t>
      </w:r>
      <w:r w:rsidRPr="00C8056C">
        <w:t xml:space="preserve"> </w:t>
      </w:r>
      <w:r w:rsidRPr="00C8056C">
        <w:rPr>
          <w:b/>
          <w:bCs/>
        </w:rPr>
        <w:t>dispositif de surveillance</w:t>
      </w:r>
    </w:p>
    <w:p w:rsidR="00FD1C76" w:rsidRPr="00C8056C" w:rsidRDefault="00FD1C76" w:rsidP="00BB649F">
      <w:pPr>
        <w:pStyle w:val="Paragraphedeliste"/>
        <w:numPr>
          <w:ilvl w:val="0"/>
          <w:numId w:val="20"/>
        </w:numPr>
        <w:tabs>
          <w:tab w:val="left" w:pos="426"/>
        </w:tabs>
        <w:jc w:val="both"/>
      </w:pPr>
      <w:r>
        <w:t xml:space="preserve">Déterminer si les </w:t>
      </w:r>
      <w:r w:rsidRPr="00FB1D3B">
        <w:rPr>
          <w:b/>
          <w:color w:val="0099CC"/>
        </w:rPr>
        <w:t>modalités et le contenu des conventions et partenariats entre assureur et distributeur nécessitent une révision</w:t>
      </w:r>
      <w:r>
        <w:t xml:space="preserve"> et le cas échéant quelles modifications doivent être effectuées.</w:t>
      </w:r>
    </w:p>
    <w:p w:rsidR="00FD1C76" w:rsidRPr="00F62367" w:rsidRDefault="00FD1C76" w:rsidP="00B8467B">
      <w:pPr>
        <w:tabs>
          <w:tab w:val="left" w:pos="426"/>
          <w:tab w:val="num" w:pos="1440"/>
        </w:tabs>
        <w:ind w:left="426" w:firstLine="0"/>
        <w:jc w:val="both"/>
        <w:rPr>
          <w:rFonts w:ascii="Arial" w:hAnsi="Arial" w:cs="Arial"/>
          <w:b/>
        </w:rPr>
      </w:pPr>
      <w:r>
        <w:t>L</w:t>
      </w:r>
      <w:r w:rsidRPr="002051E0">
        <w:t>e résultat de ces audits</w:t>
      </w:r>
      <w:r>
        <w:t xml:space="preserve"> servira à la formalisation d’</w:t>
      </w:r>
      <w:r w:rsidRPr="002051E0">
        <w:t>une feuille de r</w:t>
      </w:r>
      <w:r>
        <w:t>oute détaillée permettant de m</w:t>
      </w:r>
      <w:r w:rsidRPr="002051E0">
        <w:t>esurer l’effort à fournir (volume de produits concernés, autres spécificités légales ou réglementaires s’y appliquant, etc…)</w:t>
      </w:r>
      <w:r w:rsidR="00BB649F">
        <w:t>. Le</w:t>
      </w:r>
      <w:r>
        <w:t xml:space="preserve"> </w:t>
      </w:r>
      <w:r w:rsidR="00BB649F">
        <w:t>cadrage d</w:t>
      </w:r>
      <w:r w:rsidRPr="002051E0">
        <w:t>es travaux à effectuer, a minima quant à la détermination d’une gouvernance produit adaptée</w:t>
      </w:r>
      <w:r>
        <w:t xml:space="preserve"> et </w:t>
      </w:r>
      <w:r w:rsidR="00BB649F">
        <w:t>l’identification</w:t>
      </w:r>
      <w:r>
        <w:t xml:space="preserve"> </w:t>
      </w:r>
      <w:r w:rsidR="00BB649F">
        <w:t>d</w:t>
      </w:r>
      <w:r w:rsidRPr="002051E0">
        <w:t xml:space="preserve">es acteurs à mobiliser dès le départ pour conduire </w:t>
      </w:r>
      <w:r>
        <w:t>u</w:t>
      </w:r>
      <w:r w:rsidR="00BB649F">
        <w:t>ne démarche de travail efficace seront également des axes à intégrer.</w:t>
      </w:r>
    </w:p>
    <w:p w:rsidR="00FD1C76" w:rsidRDefault="00FD1C76" w:rsidP="00FD1C76">
      <w:pPr>
        <w:jc w:val="both"/>
        <w:rPr>
          <w:rFonts w:ascii="Arial" w:hAnsi="Arial" w:cs="Arial"/>
          <w:b/>
        </w:rPr>
      </w:pPr>
    </w:p>
    <w:p w:rsidR="00FD1C76" w:rsidRPr="00EF3022" w:rsidRDefault="00FD1C76" w:rsidP="00FD1C76">
      <w:pPr>
        <w:jc w:val="both"/>
        <w:rPr>
          <w:rFonts w:ascii="Arial" w:hAnsi="Arial" w:cs="Arial"/>
          <w:b/>
        </w:rPr>
      </w:pPr>
      <w:r w:rsidRPr="00EF3022">
        <w:rPr>
          <w:rFonts w:ascii="Arial" w:hAnsi="Arial" w:cs="Arial"/>
          <w:b/>
        </w:rPr>
        <w:t>Nos atouts pour vous accompagner</w:t>
      </w:r>
    </w:p>
    <w:p w:rsidR="008F4BDF" w:rsidRDefault="00FD1C76" w:rsidP="00BB649F">
      <w:pPr>
        <w:tabs>
          <w:tab w:val="left" w:pos="426"/>
        </w:tabs>
        <w:ind w:left="357" w:firstLine="0"/>
        <w:jc w:val="both"/>
      </w:pPr>
      <w:r>
        <w:t xml:space="preserve">Comment s’y retrouver au sein du </w:t>
      </w:r>
      <w:r w:rsidRPr="00BB649F">
        <w:t>mille-feuille législatif actuel</w:t>
      </w:r>
      <w:r w:rsidR="008F4BDF">
        <w:t xml:space="preserve"> (Loi Sapin 2, </w:t>
      </w:r>
      <w:r>
        <w:t xml:space="preserve">RGPD, Eckert, Ficovie, PRIIPS et maintenant DDA) en vigueur sur le marché assurantiel ? </w:t>
      </w:r>
    </w:p>
    <w:p w:rsidR="008F4BDF" w:rsidRDefault="00FD1C76" w:rsidP="00BB649F">
      <w:pPr>
        <w:tabs>
          <w:tab w:val="left" w:pos="426"/>
        </w:tabs>
        <w:ind w:left="357" w:firstLine="0"/>
        <w:jc w:val="both"/>
      </w:pPr>
      <w:r>
        <w:t xml:space="preserve">Quelle est la meilleure approche à adopter pour mettre en œuvre </w:t>
      </w:r>
      <w:r w:rsidRPr="00BB649F">
        <w:t xml:space="preserve">un programme de mise en conformité cohérent </w:t>
      </w:r>
      <w:r>
        <w:t xml:space="preserve">et en </w:t>
      </w:r>
      <w:r w:rsidRPr="00BB649F">
        <w:t>limitant les coûts liés à la transformation demandée</w:t>
      </w:r>
      <w:r>
        <w:t> </w:t>
      </w:r>
      <w:r w:rsidRPr="00BB649F">
        <w:t>?</w:t>
      </w:r>
      <w:r>
        <w:t xml:space="preserve"> </w:t>
      </w:r>
    </w:p>
    <w:p w:rsidR="00FD1C76" w:rsidRDefault="00FD1C76" w:rsidP="00BB649F">
      <w:pPr>
        <w:tabs>
          <w:tab w:val="left" w:pos="426"/>
        </w:tabs>
        <w:ind w:left="357" w:firstLine="0"/>
        <w:jc w:val="both"/>
      </w:pPr>
      <w:r>
        <w:t xml:space="preserve">Comment capitaliser sur les évolutions demandées pour </w:t>
      </w:r>
      <w:r w:rsidR="00EA4E97">
        <w:t>les tourner</w:t>
      </w:r>
      <w:r w:rsidRPr="00BB649F">
        <w:t xml:space="preserve"> en opportunités et sortir </w:t>
      </w:r>
      <w:bookmarkStart w:id="1" w:name="_GoBack"/>
      <w:r w:rsidRPr="00BB649F">
        <w:t>gagnant de cette transformation </w:t>
      </w:r>
      <w:r>
        <w:t>?</w:t>
      </w:r>
    </w:p>
    <w:bookmarkEnd w:id="1"/>
    <w:p w:rsidR="00FD1C76" w:rsidRDefault="00FD1C76" w:rsidP="00BB649F">
      <w:pPr>
        <w:tabs>
          <w:tab w:val="left" w:pos="426"/>
        </w:tabs>
        <w:ind w:left="357" w:firstLine="0"/>
        <w:jc w:val="both"/>
      </w:pPr>
      <w:r>
        <w:t xml:space="preserve">Les équipes de Synaxia Conseil sont spécialisées dans l’accompagnement stratégique et opérationnel de grands comptes en particulier sur les problématiques de </w:t>
      </w:r>
      <w:r w:rsidRPr="00FB1D3B">
        <w:rPr>
          <w:b/>
          <w:color w:val="0099CC"/>
        </w:rPr>
        <w:t>mise en application de contraintes réglementaires</w:t>
      </w:r>
      <w:r w:rsidR="008F4BDF">
        <w:t>.</w:t>
      </w:r>
    </w:p>
    <w:p w:rsidR="00FD1C76" w:rsidRDefault="00FD1C76" w:rsidP="00BB649F">
      <w:pPr>
        <w:tabs>
          <w:tab w:val="left" w:pos="426"/>
        </w:tabs>
        <w:ind w:left="357" w:firstLine="0"/>
        <w:jc w:val="both"/>
      </w:pPr>
      <w:r w:rsidRPr="00BB649F">
        <w:t>Notre connaissance et notre expertise du secteur assurantiel</w:t>
      </w:r>
      <w:r>
        <w:t xml:space="preserve"> alliée à </w:t>
      </w:r>
      <w:r w:rsidRPr="00BB649F">
        <w:t>nos outils et à une méthodologie éprouvée sur ce type de mission</w:t>
      </w:r>
      <w:r>
        <w:t xml:space="preserve"> nous permet de vous accompagner tout au long de votre projet, pour vous amener à réaliser votre ambition.</w:t>
      </w:r>
    </w:p>
    <w:p w:rsidR="00E15039" w:rsidRPr="0033401C" w:rsidRDefault="00E15039" w:rsidP="0033401C">
      <w:pPr>
        <w:rPr>
          <w:rFonts w:ascii="Arial" w:hAnsi="Arial" w:cs="Arial"/>
          <w:b/>
        </w:rPr>
      </w:pPr>
    </w:p>
    <w:p w:rsidR="0033401C" w:rsidRDefault="0033401C" w:rsidP="0033401C">
      <w:pPr>
        <w:ind w:left="426" w:firstLine="0"/>
        <w:jc w:val="center"/>
        <w:rPr>
          <w:b/>
        </w:rPr>
      </w:pPr>
      <w:r w:rsidRPr="0033401C">
        <w:rPr>
          <w:b/>
        </w:rPr>
        <w:t>VOS CONTACTS</w:t>
      </w:r>
    </w:p>
    <w:tbl>
      <w:tblPr>
        <w:tblStyle w:val="Grilledutableau"/>
        <w:tblW w:w="8641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0"/>
        <w:gridCol w:w="2880"/>
        <w:gridCol w:w="2881"/>
      </w:tblGrid>
      <w:tr w:rsidR="008E1767" w:rsidRPr="008E1767" w:rsidTr="00960BBE">
        <w:tc>
          <w:tcPr>
            <w:tcW w:w="2880" w:type="dxa"/>
          </w:tcPr>
          <w:p w:rsidR="008E1767" w:rsidRDefault="008E1767" w:rsidP="008E1767">
            <w:pPr>
              <w:ind w:left="0" w:firstLine="0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Gatien </w:t>
            </w:r>
            <w:r w:rsidRPr="008E1767">
              <w:rPr>
                <w:b/>
                <w:sz w:val="18"/>
              </w:rPr>
              <w:t>Marcillaud</w:t>
            </w:r>
          </w:p>
          <w:p w:rsidR="008E1767" w:rsidRPr="008E1767" w:rsidRDefault="008E1767" w:rsidP="008E1767">
            <w:pPr>
              <w:ind w:left="0" w:firstLine="0"/>
              <w:rPr>
                <w:sz w:val="18"/>
              </w:rPr>
            </w:pPr>
            <w:r w:rsidRPr="008E1767">
              <w:rPr>
                <w:sz w:val="18"/>
              </w:rPr>
              <w:t>Associé</w:t>
            </w:r>
          </w:p>
          <w:p w:rsidR="008E1767" w:rsidRPr="008E1767" w:rsidRDefault="008E1767" w:rsidP="008E1767">
            <w:pPr>
              <w:ind w:left="0" w:firstLine="0"/>
              <w:rPr>
                <w:sz w:val="18"/>
              </w:rPr>
            </w:pPr>
            <w:r w:rsidRPr="008E1767">
              <w:rPr>
                <w:sz w:val="18"/>
              </w:rPr>
              <w:t xml:space="preserve">Mob : </w:t>
            </w:r>
            <w:r>
              <w:rPr>
                <w:sz w:val="18"/>
              </w:rPr>
              <w:t>06 48 69 03 93</w:t>
            </w:r>
          </w:p>
          <w:p w:rsidR="008E1767" w:rsidRPr="008E1767" w:rsidRDefault="00DA56C7" w:rsidP="008E1767">
            <w:pPr>
              <w:ind w:left="0" w:firstLine="0"/>
              <w:rPr>
                <w:b/>
                <w:sz w:val="18"/>
              </w:rPr>
            </w:pPr>
            <w:hyperlink r:id="rId18" w:history="1">
              <w:r w:rsidR="008E1767" w:rsidRPr="00F74ED6">
                <w:rPr>
                  <w:rStyle w:val="Lienhypertexte"/>
                  <w:sz w:val="18"/>
                </w:rPr>
                <w:t>gmarcillaud@synaxia-conseil.fr</w:t>
              </w:r>
            </w:hyperlink>
            <w:r w:rsidR="008E1767">
              <w:rPr>
                <w:b/>
                <w:sz w:val="18"/>
              </w:rPr>
              <w:t xml:space="preserve"> </w:t>
            </w:r>
          </w:p>
        </w:tc>
        <w:tc>
          <w:tcPr>
            <w:tcW w:w="2880" w:type="dxa"/>
          </w:tcPr>
          <w:p w:rsidR="008E1767" w:rsidRPr="008E1767" w:rsidRDefault="008E1767" w:rsidP="008E1767">
            <w:pPr>
              <w:ind w:left="0" w:firstLine="0"/>
              <w:rPr>
                <w:b/>
                <w:sz w:val="18"/>
              </w:rPr>
            </w:pPr>
            <w:r w:rsidRPr="008E1767">
              <w:rPr>
                <w:b/>
                <w:sz w:val="18"/>
              </w:rPr>
              <w:t>Mathieu GROSHENY</w:t>
            </w:r>
          </w:p>
          <w:p w:rsidR="008E1767" w:rsidRPr="008E1767" w:rsidRDefault="008E1767" w:rsidP="008E1767">
            <w:pPr>
              <w:ind w:left="0" w:firstLine="0"/>
              <w:rPr>
                <w:sz w:val="18"/>
              </w:rPr>
            </w:pPr>
            <w:r w:rsidRPr="008E1767">
              <w:rPr>
                <w:sz w:val="18"/>
              </w:rPr>
              <w:t>Associé</w:t>
            </w:r>
          </w:p>
          <w:p w:rsidR="008E1767" w:rsidRPr="008E1767" w:rsidRDefault="008E1767" w:rsidP="008E1767">
            <w:pPr>
              <w:ind w:left="0" w:firstLine="0"/>
              <w:rPr>
                <w:sz w:val="18"/>
              </w:rPr>
            </w:pPr>
            <w:r w:rsidRPr="008E1767">
              <w:rPr>
                <w:sz w:val="18"/>
              </w:rPr>
              <w:t xml:space="preserve">Mob : </w:t>
            </w:r>
            <w:r>
              <w:rPr>
                <w:sz w:val="18"/>
              </w:rPr>
              <w:t>06 37 51 62 37</w:t>
            </w:r>
          </w:p>
          <w:p w:rsidR="008E1767" w:rsidRPr="008E1767" w:rsidRDefault="00DA56C7" w:rsidP="008E1767">
            <w:pPr>
              <w:ind w:left="0" w:firstLine="0"/>
              <w:rPr>
                <w:sz w:val="18"/>
              </w:rPr>
            </w:pPr>
            <w:hyperlink r:id="rId19" w:history="1">
              <w:r w:rsidR="008E1767" w:rsidRPr="00F74ED6">
                <w:rPr>
                  <w:rStyle w:val="Lienhypertexte"/>
                  <w:sz w:val="18"/>
                </w:rPr>
                <w:t>mgrosheny@synaxia-conseil.fr</w:t>
              </w:r>
            </w:hyperlink>
            <w:r w:rsidR="008E1767">
              <w:rPr>
                <w:sz w:val="18"/>
              </w:rPr>
              <w:t xml:space="preserve"> </w:t>
            </w:r>
          </w:p>
        </w:tc>
        <w:tc>
          <w:tcPr>
            <w:tcW w:w="2881" w:type="dxa"/>
          </w:tcPr>
          <w:p w:rsidR="008E1767" w:rsidRPr="008E1767" w:rsidRDefault="008E1767" w:rsidP="008E1767">
            <w:pPr>
              <w:ind w:left="0" w:firstLine="0"/>
              <w:rPr>
                <w:b/>
                <w:sz w:val="18"/>
              </w:rPr>
            </w:pPr>
            <w:r w:rsidRPr="008E1767">
              <w:rPr>
                <w:b/>
                <w:sz w:val="18"/>
              </w:rPr>
              <w:t>Emmanuelle CROSNIER</w:t>
            </w:r>
          </w:p>
          <w:p w:rsidR="008E1767" w:rsidRPr="008E1767" w:rsidRDefault="008E1767" w:rsidP="008E1767">
            <w:pPr>
              <w:ind w:left="0" w:firstLine="0"/>
              <w:rPr>
                <w:sz w:val="18"/>
              </w:rPr>
            </w:pPr>
            <w:r w:rsidRPr="008E1767">
              <w:rPr>
                <w:sz w:val="18"/>
              </w:rPr>
              <w:t>Associé</w:t>
            </w:r>
          </w:p>
          <w:p w:rsidR="008E1767" w:rsidRPr="008E1767" w:rsidRDefault="008E1767" w:rsidP="008E1767">
            <w:pPr>
              <w:ind w:left="0" w:firstLine="0"/>
              <w:rPr>
                <w:sz w:val="18"/>
              </w:rPr>
            </w:pPr>
            <w:r w:rsidRPr="008E1767">
              <w:rPr>
                <w:sz w:val="18"/>
              </w:rPr>
              <w:t>Mob : 06 77 06 63 31</w:t>
            </w:r>
          </w:p>
          <w:p w:rsidR="008E1767" w:rsidRPr="008E1767" w:rsidRDefault="00DA56C7" w:rsidP="008E1767">
            <w:pPr>
              <w:ind w:left="0" w:firstLine="0"/>
              <w:rPr>
                <w:b/>
                <w:sz w:val="18"/>
              </w:rPr>
            </w:pPr>
            <w:hyperlink r:id="rId20" w:history="1">
              <w:r w:rsidR="008E1767" w:rsidRPr="008E1767">
                <w:rPr>
                  <w:rStyle w:val="Lienhypertexte"/>
                  <w:sz w:val="18"/>
                </w:rPr>
                <w:t>ecrosnier@synaxia-conseil.fr</w:t>
              </w:r>
            </w:hyperlink>
          </w:p>
        </w:tc>
      </w:tr>
    </w:tbl>
    <w:p w:rsidR="0033401C" w:rsidRPr="0033401C" w:rsidRDefault="0033401C" w:rsidP="00FD1C76">
      <w:pPr>
        <w:ind w:left="0" w:firstLine="0"/>
        <w:rPr>
          <w:b/>
        </w:rPr>
      </w:pPr>
    </w:p>
    <w:sectPr w:rsidR="0033401C" w:rsidRPr="0033401C" w:rsidSect="00EB0E08">
      <w:headerReference w:type="default" r:id="rId21"/>
      <w:footerReference w:type="default" r:id="rId22"/>
      <w:headerReference w:type="first" r:id="rId2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56C7" w:rsidRDefault="00DA56C7" w:rsidP="006235F4">
      <w:pPr>
        <w:spacing w:after="0" w:line="240" w:lineRule="auto"/>
      </w:pPr>
      <w:r>
        <w:separator/>
      </w:r>
    </w:p>
  </w:endnote>
  <w:endnote w:type="continuationSeparator" w:id="0">
    <w:p w:rsidR="00DA56C7" w:rsidRDefault="00DA56C7" w:rsidP="00623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0E08" w:rsidRPr="0043121A" w:rsidRDefault="00EB0E08" w:rsidP="00EB0E08">
    <w:pPr>
      <w:pStyle w:val="Pieddepage"/>
      <w:tabs>
        <w:tab w:val="clear" w:pos="4536"/>
        <w:tab w:val="clear" w:pos="9072"/>
        <w:tab w:val="left" w:pos="2700"/>
      </w:tabs>
      <w:ind w:left="0" w:firstLine="0"/>
    </w:pPr>
    <w:r>
      <w:t>[</w:t>
    </w:r>
    <w:r>
      <w:fldChar w:fldCharType="begin"/>
    </w:r>
    <w:r>
      <w:instrText>PAGE   \* MERGEFORMAT</w:instrText>
    </w:r>
    <w:r>
      <w:fldChar w:fldCharType="separate"/>
    </w:r>
    <w:r w:rsidR="00960BBE">
      <w:rPr>
        <w:noProof/>
      </w:rPr>
      <w:t>4</w:t>
    </w:r>
    <w:r>
      <w:fldChar w:fldCharType="end"/>
    </w:r>
    <w:r>
      <w:t>]</w:t>
    </w: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3E8EE080" wp14:editId="0A47523D">
          <wp:simplePos x="0" y="0"/>
          <wp:positionH relativeFrom="margin">
            <wp:align>right</wp:align>
          </wp:positionH>
          <wp:positionV relativeFrom="paragraph">
            <wp:posOffset>-76200</wp:posOffset>
          </wp:positionV>
          <wp:extent cx="1203960" cy="428625"/>
          <wp:effectExtent l="0" t="0" r="0" b="9525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YNAXIA_LOGO 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3960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 w:rsidRPr="00EB0E08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56C7" w:rsidRDefault="00DA56C7" w:rsidP="006235F4">
      <w:pPr>
        <w:spacing w:after="0" w:line="240" w:lineRule="auto"/>
      </w:pPr>
      <w:bookmarkStart w:id="0" w:name="_Hlk480813145"/>
      <w:bookmarkEnd w:id="0"/>
      <w:r>
        <w:separator/>
      </w:r>
    </w:p>
  </w:footnote>
  <w:footnote w:type="continuationSeparator" w:id="0">
    <w:p w:rsidR="00DA56C7" w:rsidRDefault="00DA56C7" w:rsidP="006235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0E08" w:rsidRDefault="00693933" w:rsidP="00EB0E08">
    <w:pPr>
      <w:pStyle w:val="Pieddepage"/>
      <w:tabs>
        <w:tab w:val="clear" w:pos="4536"/>
        <w:tab w:val="clear" w:pos="9072"/>
        <w:tab w:val="left" w:pos="2700"/>
      </w:tabs>
      <w:ind w:left="0" w:firstLine="0"/>
      <w:jc w:val="right"/>
    </w:pPr>
    <w:r>
      <w:t>Note d’information – Juin</w:t>
    </w:r>
    <w:r w:rsidR="00EB0E08">
      <w:t xml:space="preserve"> 2017</w:t>
    </w:r>
  </w:p>
  <w:p w:rsidR="00EB0E08" w:rsidRPr="0043121A" w:rsidRDefault="00E15039" w:rsidP="00EB0E08">
    <w:pPr>
      <w:jc w:val="right"/>
    </w:pPr>
    <w:r>
      <w:t>Directive sur la Distribution en Assurance</w:t>
    </w:r>
  </w:p>
  <w:p w:rsidR="0043121A" w:rsidRDefault="0043121A" w:rsidP="0043121A">
    <w:pPr>
      <w:pStyle w:val="En-tte"/>
      <w:ind w:firstLine="2826"/>
      <w:jc w:val="right"/>
      <w:rPr>
        <w:rFonts w:ascii="Arial" w:hAnsi="Arial" w:cs="Arial"/>
        <w:b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4409" w:rsidRPr="00AD4409" w:rsidRDefault="00E15039" w:rsidP="00AD4409">
    <w:pPr>
      <w:pStyle w:val="Pieddepage"/>
      <w:tabs>
        <w:tab w:val="clear" w:pos="4536"/>
        <w:tab w:val="clear" w:pos="9072"/>
        <w:tab w:val="left" w:pos="2700"/>
      </w:tabs>
      <w:ind w:left="0" w:firstLine="0"/>
      <w:jc w:val="right"/>
      <w:rPr>
        <w:b/>
        <w:sz w:val="28"/>
      </w:rPr>
    </w:pPr>
    <w:r>
      <w:rPr>
        <w:b/>
        <w:sz w:val="28"/>
      </w:rPr>
      <w:t>Note d’information</w:t>
    </w:r>
    <w:r w:rsidR="00AD4409" w:rsidRPr="00AD4409">
      <w:rPr>
        <w:b/>
        <w:sz w:val="28"/>
      </w:rPr>
      <w:t xml:space="preserve"> – </w:t>
    </w:r>
    <w:r w:rsidR="00693933">
      <w:rPr>
        <w:b/>
        <w:sz w:val="28"/>
      </w:rPr>
      <w:t>juin</w:t>
    </w:r>
    <w:r w:rsidR="00AD4409" w:rsidRPr="00AD4409">
      <w:rPr>
        <w:b/>
        <w:sz w:val="28"/>
      </w:rPr>
      <w:t xml:space="preserve"> 2017</w:t>
    </w:r>
  </w:p>
  <w:p w:rsidR="00AD4409" w:rsidRDefault="00AD440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36C03"/>
    <w:multiLevelType w:val="hybridMultilevel"/>
    <w:tmpl w:val="487875A2"/>
    <w:lvl w:ilvl="0" w:tplc="B3CE9290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E8A735E"/>
    <w:multiLevelType w:val="hybridMultilevel"/>
    <w:tmpl w:val="382EAEAA"/>
    <w:lvl w:ilvl="0" w:tplc="54DE397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6CE64A8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C00B0B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57CC62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CCE99C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3F0082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EFBC7F3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9052223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33AA96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" w15:restartNumberingAfterBreak="0">
    <w:nsid w:val="0ECE37C4"/>
    <w:multiLevelType w:val="hybridMultilevel"/>
    <w:tmpl w:val="3B5ECD18"/>
    <w:lvl w:ilvl="0" w:tplc="B3FAF78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B9A60E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15C69F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CD76CC5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EB98C54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9862C5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6B86727E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E384BE2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5BAAC8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" w15:restartNumberingAfterBreak="0">
    <w:nsid w:val="12224CF7"/>
    <w:multiLevelType w:val="hybridMultilevel"/>
    <w:tmpl w:val="FC46B39A"/>
    <w:lvl w:ilvl="0" w:tplc="2BB2BAA0">
      <w:numFmt w:val="bullet"/>
      <w:lvlText w:val=""/>
      <w:lvlJc w:val="left"/>
      <w:pPr>
        <w:ind w:left="717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4" w15:restartNumberingAfterBreak="0">
    <w:nsid w:val="1CED73DD"/>
    <w:multiLevelType w:val="hybridMultilevel"/>
    <w:tmpl w:val="5EEC0236"/>
    <w:lvl w:ilvl="0" w:tplc="3DA2E1B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6E62B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CE6B0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B636A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60AB4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ACC6A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FEBF1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F4BAB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86490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96D7E"/>
    <w:multiLevelType w:val="hybridMultilevel"/>
    <w:tmpl w:val="AA4C9AB4"/>
    <w:lvl w:ilvl="0" w:tplc="7E6A1DB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5EC0813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87CB7F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69B8164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77D835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CCABE0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E121D8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6F78CA3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26E16D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6" w15:restartNumberingAfterBreak="0">
    <w:nsid w:val="229912D4"/>
    <w:multiLevelType w:val="hybridMultilevel"/>
    <w:tmpl w:val="7232512C"/>
    <w:lvl w:ilvl="0" w:tplc="90E08414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44532D1"/>
    <w:multiLevelType w:val="hybridMultilevel"/>
    <w:tmpl w:val="8C88C3BC"/>
    <w:lvl w:ilvl="0" w:tplc="924AB64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7236EA3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D6AB50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8C66C17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418E2F0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4F8837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88C19C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2676E5A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0443F5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8" w15:restartNumberingAfterBreak="0">
    <w:nsid w:val="25D400A6"/>
    <w:multiLevelType w:val="hybridMultilevel"/>
    <w:tmpl w:val="F7B479AE"/>
    <w:lvl w:ilvl="0" w:tplc="8672627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E96214B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B346D0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370A03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051C868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8603D8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9DB2611E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18FA998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E7EE8B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9" w15:restartNumberingAfterBreak="0">
    <w:nsid w:val="29AB2D3C"/>
    <w:multiLevelType w:val="hybridMultilevel"/>
    <w:tmpl w:val="279AAD3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24F25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15683B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B1B04CD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48BE278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1729B7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AFD05E1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2972575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256A51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0" w15:restartNumberingAfterBreak="0">
    <w:nsid w:val="2FBA3CA0"/>
    <w:multiLevelType w:val="hybridMultilevel"/>
    <w:tmpl w:val="4C16622C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25A5404"/>
    <w:multiLevelType w:val="hybridMultilevel"/>
    <w:tmpl w:val="7CA678D0"/>
    <w:lvl w:ilvl="0" w:tplc="040C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349857DF"/>
    <w:multiLevelType w:val="hybridMultilevel"/>
    <w:tmpl w:val="7ED41A4A"/>
    <w:lvl w:ilvl="0" w:tplc="924AB64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C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6AB50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8C66C17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418E2F0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4F8837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88C19C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2676E5A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0443F5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3" w15:restartNumberingAfterBreak="0">
    <w:nsid w:val="354B2B4A"/>
    <w:multiLevelType w:val="hybridMultilevel"/>
    <w:tmpl w:val="D682C52E"/>
    <w:lvl w:ilvl="0" w:tplc="924AB64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C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66C17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418E2F0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4F8837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88C19C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2676E5A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0443F5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4" w15:restartNumberingAfterBreak="0">
    <w:nsid w:val="38555947"/>
    <w:multiLevelType w:val="hybridMultilevel"/>
    <w:tmpl w:val="8D907938"/>
    <w:lvl w:ilvl="0" w:tplc="DAEAD9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DCB9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16C8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F205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BC35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140A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CA8B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AE84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142A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8D90D2D"/>
    <w:multiLevelType w:val="hybridMultilevel"/>
    <w:tmpl w:val="F3825F68"/>
    <w:lvl w:ilvl="0" w:tplc="D75ECA6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37" w:hanging="360"/>
      </w:pPr>
    </w:lvl>
    <w:lvl w:ilvl="2" w:tplc="040C001B" w:tentative="1">
      <w:start w:val="1"/>
      <w:numFmt w:val="lowerRoman"/>
      <w:lvlText w:val="%3."/>
      <w:lvlJc w:val="right"/>
      <w:pPr>
        <w:ind w:left="2157" w:hanging="180"/>
      </w:pPr>
    </w:lvl>
    <w:lvl w:ilvl="3" w:tplc="040C000F" w:tentative="1">
      <w:start w:val="1"/>
      <w:numFmt w:val="decimal"/>
      <w:lvlText w:val="%4."/>
      <w:lvlJc w:val="left"/>
      <w:pPr>
        <w:ind w:left="2877" w:hanging="360"/>
      </w:pPr>
    </w:lvl>
    <w:lvl w:ilvl="4" w:tplc="040C0019" w:tentative="1">
      <w:start w:val="1"/>
      <w:numFmt w:val="lowerLetter"/>
      <w:lvlText w:val="%5."/>
      <w:lvlJc w:val="left"/>
      <w:pPr>
        <w:ind w:left="3597" w:hanging="360"/>
      </w:pPr>
    </w:lvl>
    <w:lvl w:ilvl="5" w:tplc="040C001B" w:tentative="1">
      <w:start w:val="1"/>
      <w:numFmt w:val="lowerRoman"/>
      <w:lvlText w:val="%6."/>
      <w:lvlJc w:val="right"/>
      <w:pPr>
        <w:ind w:left="4317" w:hanging="180"/>
      </w:pPr>
    </w:lvl>
    <w:lvl w:ilvl="6" w:tplc="040C000F" w:tentative="1">
      <w:start w:val="1"/>
      <w:numFmt w:val="decimal"/>
      <w:lvlText w:val="%7."/>
      <w:lvlJc w:val="left"/>
      <w:pPr>
        <w:ind w:left="5037" w:hanging="360"/>
      </w:pPr>
    </w:lvl>
    <w:lvl w:ilvl="7" w:tplc="040C0019" w:tentative="1">
      <w:start w:val="1"/>
      <w:numFmt w:val="lowerLetter"/>
      <w:lvlText w:val="%8."/>
      <w:lvlJc w:val="left"/>
      <w:pPr>
        <w:ind w:left="5757" w:hanging="360"/>
      </w:pPr>
    </w:lvl>
    <w:lvl w:ilvl="8" w:tplc="040C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6" w15:restartNumberingAfterBreak="0">
    <w:nsid w:val="4C5A6BB4"/>
    <w:multiLevelType w:val="hybridMultilevel"/>
    <w:tmpl w:val="5E3A5D5A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7" w15:restartNumberingAfterBreak="0">
    <w:nsid w:val="4EC51C74"/>
    <w:multiLevelType w:val="hybridMultilevel"/>
    <w:tmpl w:val="87AEAE50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8" w15:restartNumberingAfterBreak="0">
    <w:nsid w:val="4F967D48"/>
    <w:multiLevelType w:val="hybridMultilevel"/>
    <w:tmpl w:val="10FCEB08"/>
    <w:lvl w:ilvl="0" w:tplc="BB9CF636">
      <w:numFmt w:val="bullet"/>
      <w:lvlText w:val=""/>
      <w:lvlJc w:val="left"/>
      <w:pPr>
        <w:ind w:left="644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541857A0"/>
    <w:multiLevelType w:val="hybridMultilevel"/>
    <w:tmpl w:val="A5FA0204"/>
    <w:lvl w:ilvl="0" w:tplc="BCA23CE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D8666BD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13C6E0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A53096A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355C62B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DD808E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F5B4C57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DF7888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2909FA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0" w15:restartNumberingAfterBreak="0">
    <w:nsid w:val="6C2F2746"/>
    <w:multiLevelType w:val="hybridMultilevel"/>
    <w:tmpl w:val="CC1AA9BE"/>
    <w:lvl w:ilvl="0" w:tplc="8612FA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620A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AC09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5CAA0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F443C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B8FD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F454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CCE56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8A6D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7FD85B63"/>
    <w:multiLevelType w:val="hybridMultilevel"/>
    <w:tmpl w:val="60841970"/>
    <w:lvl w:ilvl="0" w:tplc="25CEAF8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4024F25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15683B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B1B04CD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48BE278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1729B7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AFD05E1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2972575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256A51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num w:numId="1">
    <w:abstractNumId w:val="16"/>
  </w:num>
  <w:num w:numId="2">
    <w:abstractNumId w:val="17"/>
  </w:num>
  <w:num w:numId="3">
    <w:abstractNumId w:val="20"/>
  </w:num>
  <w:num w:numId="4">
    <w:abstractNumId w:val="5"/>
  </w:num>
  <w:num w:numId="5">
    <w:abstractNumId w:val="2"/>
  </w:num>
  <w:num w:numId="6">
    <w:abstractNumId w:val="8"/>
  </w:num>
  <w:num w:numId="7">
    <w:abstractNumId w:val="21"/>
  </w:num>
  <w:num w:numId="8">
    <w:abstractNumId w:val="9"/>
  </w:num>
  <w:num w:numId="9">
    <w:abstractNumId w:val="19"/>
  </w:num>
  <w:num w:numId="10">
    <w:abstractNumId w:val="1"/>
  </w:num>
  <w:num w:numId="11">
    <w:abstractNumId w:val="0"/>
  </w:num>
  <w:num w:numId="12">
    <w:abstractNumId w:val="15"/>
  </w:num>
  <w:num w:numId="13">
    <w:abstractNumId w:val="4"/>
  </w:num>
  <w:num w:numId="14">
    <w:abstractNumId w:val="7"/>
  </w:num>
  <w:num w:numId="15">
    <w:abstractNumId w:val="11"/>
  </w:num>
  <w:num w:numId="16">
    <w:abstractNumId w:val="3"/>
  </w:num>
  <w:num w:numId="17">
    <w:abstractNumId w:val="18"/>
  </w:num>
  <w:num w:numId="18">
    <w:abstractNumId w:val="14"/>
  </w:num>
  <w:num w:numId="19">
    <w:abstractNumId w:val="6"/>
  </w:num>
  <w:num w:numId="20">
    <w:abstractNumId w:val="10"/>
  </w:num>
  <w:num w:numId="21">
    <w:abstractNumId w:val="12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3AD"/>
    <w:rsid w:val="00074B10"/>
    <w:rsid w:val="00080743"/>
    <w:rsid w:val="000C7D06"/>
    <w:rsid w:val="00120AA6"/>
    <w:rsid w:val="001614EE"/>
    <w:rsid w:val="001708A2"/>
    <w:rsid w:val="001D4548"/>
    <w:rsid w:val="00204002"/>
    <w:rsid w:val="00226413"/>
    <w:rsid w:val="00235EA7"/>
    <w:rsid w:val="00282604"/>
    <w:rsid w:val="0028405C"/>
    <w:rsid w:val="00297BB0"/>
    <w:rsid w:val="002A7988"/>
    <w:rsid w:val="00304229"/>
    <w:rsid w:val="0033401C"/>
    <w:rsid w:val="00356D8B"/>
    <w:rsid w:val="0037073D"/>
    <w:rsid w:val="003A2D00"/>
    <w:rsid w:val="003C0B62"/>
    <w:rsid w:val="003D3C71"/>
    <w:rsid w:val="0043121A"/>
    <w:rsid w:val="004371EA"/>
    <w:rsid w:val="004E484B"/>
    <w:rsid w:val="00501953"/>
    <w:rsid w:val="00556E43"/>
    <w:rsid w:val="0059316D"/>
    <w:rsid w:val="005C6CAF"/>
    <w:rsid w:val="005D088F"/>
    <w:rsid w:val="00605CF4"/>
    <w:rsid w:val="006235F4"/>
    <w:rsid w:val="006914C7"/>
    <w:rsid w:val="00693933"/>
    <w:rsid w:val="00736703"/>
    <w:rsid w:val="00770C44"/>
    <w:rsid w:val="007E2CC6"/>
    <w:rsid w:val="007E558D"/>
    <w:rsid w:val="008614FF"/>
    <w:rsid w:val="00866C43"/>
    <w:rsid w:val="008D24CA"/>
    <w:rsid w:val="008E1767"/>
    <w:rsid w:val="008F4BDF"/>
    <w:rsid w:val="00960BBE"/>
    <w:rsid w:val="00974DAA"/>
    <w:rsid w:val="009A335D"/>
    <w:rsid w:val="00A171A4"/>
    <w:rsid w:val="00A22338"/>
    <w:rsid w:val="00A30C7E"/>
    <w:rsid w:val="00A40D74"/>
    <w:rsid w:val="00A40F85"/>
    <w:rsid w:val="00A67FED"/>
    <w:rsid w:val="00AD4409"/>
    <w:rsid w:val="00B25719"/>
    <w:rsid w:val="00B30508"/>
    <w:rsid w:val="00B53262"/>
    <w:rsid w:val="00B53E99"/>
    <w:rsid w:val="00B7270C"/>
    <w:rsid w:val="00B8467B"/>
    <w:rsid w:val="00BA5628"/>
    <w:rsid w:val="00BB649F"/>
    <w:rsid w:val="00BE3E8F"/>
    <w:rsid w:val="00C061E3"/>
    <w:rsid w:val="00C07018"/>
    <w:rsid w:val="00C53974"/>
    <w:rsid w:val="00C65DC5"/>
    <w:rsid w:val="00CA2C50"/>
    <w:rsid w:val="00CE38B8"/>
    <w:rsid w:val="00D17B2D"/>
    <w:rsid w:val="00D41B1F"/>
    <w:rsid w:val="00D448D1"/>
    <w:rsid w:val="00D74112"/>
    <w:rsid w:val="00DA56C7"/>
    <w:rsid w:val="00DD5DD8"/>
    <w:rsid w:val="00E03EE1"/>
    <w:rsid w:val="00E15039"/>
    <w:rsid w:val="00E37D9A"/>
    <w:rsid w:val="00E43376"/>
    <w:rsid w:val="00E52F17"/>
    <w:rsid w:val="00E83AC1"/>
    <w:rsid w:val="00EA4E97"/>
    <w:rsid w:val="00EB0E08"/>
    <w:rsid w:val="00EC29E6"/>
    <w:rsid w:val="00EE49C1"/>
    <w:rsid w:val="00F03373"/>
    <w:rsid w:val="00F07B9B"/>
    <w:rsid w:val="00F22447"/>
    <w:rsid w:val="00F852F1"/>
    <w:rsid w:val="00FB1D3B"/>
    <w:rsid w:val="00FD1C76"/>
    <w:rsid w:val="00FE7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719DCB"/>
  <w15:chartTrackingRefBased/>
  <w15:docId w15:val="{17661437-85E0-4E7C-BAE3-551D45461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20" w:line="259" w:lineRule="auto"/>
        <w:ind w:left="714" w:hanging="357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17B2D"/>
    <w:pPr>
      <w:ind w:left="720"/>
      <w:contextualSpacing/>
    </w:pPr>
  </w:style>
  <w:style w:type="paragraph" w:styleId="Sansinterligne">
    <w:name w:val="No Spacing"/>
    <w:link w:val="SansinterligneCar"/>
    <w:uiPriority w:val="1"/>
    <w:qFormat/>
    <w:rsid w:val="006235F4"/>
    <w:pPr>
      <w:spacing w:after="0" w:line="240" w:lineRule="auto"/>
      <w:ind w:left="0" w:firstLine="0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6235F4"/>
    <w:rPr>
      <w:rFonts w:eastAsiaTheme="minorEastAsia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6235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235F4"/>
  </w:style>
  <w:style w:type="paragraph" w:styleId="Pieddepage">
    <w:name w:val="footer"/>
    <w:basedOn w:val="Normal"/>
    <w:link w:val="PieddepageCar"/>
    <w:uiPriority w:val="99"/>
    <w:unhideWhenUsed/>
    <w:rsid w:val="006235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235F4"/>
  </w:style>
  <w:style w:type="paragraph" w:styleId="NormalWeb">
    <w:name w:val="Normal (Web)"/>
    <w:basedOn w:val="Normal"/>
    <w:uiPriority w:val="99"/>
    <w:semiHidden/>
    <w:unhideWhenUsed/>
    <w:rsid w:val="0033401C"/>
    <w:pPr>
      <w:spacing w:before="100" w:beforeAutospacing="1" w:after="100" w:afterAutospacing="1" w:line="240" w:lineRule="auto"/>
      <w:ind w:left="0" w:firstLine="0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3340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33401C"/>
    <w:rPr>
      <w:color w:val="0563C1" w:themeColor="hyperlink"/>
      <w:u w:val="single"/>
    </w:rPr>
  </w:style>
  <w:style w:type="character" w:styleId="Mention">
    <w:name w:val="Mention"/>
    <w:basedOn w:val="Policepardfaut"/>
    <w:uiPriority w:val="99"/>
    <w:semiHidden/>
    <w:unhideWhenUsed/>
    <w:rsid w:val="0033401C"/>
    <w:rPr>
      <w:color w:val="2B579A"/>
      <w:shd w:val="clear" w:color="auto" w:fill="E6E6E6"/>
    </w:rPr>
  </w:style>
  <w:style w:type="character" w:styleId="lev">
    <w:name w:val="Strong"/>
    <w:basedOn w:val="Policepardfaut"/>
    <w:uiPriority w:val="22"/>
    <w:qFormat/>
    <w:rsid w:val="00A40D74"/>
    <w:rPr>
      <w:b/>
      <w:bCs/>
    </w:rPr>
  </w:style>
  <w:style w:type="character" w:styleId="Accentuation">
    <w:name w:val="Emphasis"/>
    <w:basedOn w:val="Policepardfaut"/>
    <w:uiPriority w:val="20"/>
    <w:qFormat/>
    <w:rsid w:val="00F03373"/>
    <w:rPr>
      <w:i/>
      <w:iCs/>
    </w:rPr>
  </w:style>
  <w:style w:type="character" w:styleId="Mentionnonrsolue">
    <w:name w:val="Unresolved Mention"/>
    <w:basedOn w:val="Policepardfaut"/>
    <w:uiPriority w:val="99"/>
    <w:semiHidden/>
    <w:unhideWhenUsed/>
    <w:rsid w:val="008E176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42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67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931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812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60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4111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44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3808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202718">
                                                  <w:blockQuote w:val="1"/>
                                                  <w:marLeft w:val="180"/>
                                                  <w:marRight w:val="180"/>
                                                  <w:marTop w:val="18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9173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69514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33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9354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611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968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87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5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02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92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5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8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447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263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33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mailto:gmarcillaud@synaxia-conseil.fr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mailto:ecrosnier@synaxia-conseil.fr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emf"/><Relationship Id="rId23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hyperlink" Target="mailto:mgrosheny@synaxia-conseil.fr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E237FCA55BF04B86D949E9E4368674" ma:contentTypeVersion="0" ma:contentTypeDescription="Crée un document." ma:contentTypeScope="" ma:versionID="5df1e8af9562120049adaaabe8325f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f3bbf10744f8b5955bfb7548918bd11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212F06F-B09E-4A21-BE6D-0E4988BB36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5028E26-9C28-4BB2-9A7D-F9C1A52B76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214E7F1-F217-4540-BFC2-8610015C35D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689C97B-BF54-413C-81E9-63A078F1F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1148</Words>
  <Characters>6320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Règlement general sur la protection des données</vt:lpstr>
    </vt:vector>
  </TitlesOfParts>
  <Company/>
  <LinksUpToDate>false</LinksUpToDate>
  <CharactersWithSpaces>7454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Règlement general sur la protection des données</dc:title>
  <dc:subject/>
  <dc:creator>jdarailh</dc:creator>
  <cp:keywords/>
  <dc:description/>
  <cp:lastModifiedBy>Juliette d'Arailh</cp:lastModifiedBy>
  <cp:revision>2</cp:revision>
  <cp:lastPrinted>2017-04-24T14:06:00Z</cp:lastPrinted>
  <dcterms:created xsi:type="dcterms:W3CDTF">2017-06-30T10:47:00Z</dcterms:created>
  <dcterms:modified xsi:type="dcterms:W3CDTF">2017-06-30T10:47:00Z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0x0101006DE237FCA55BF04B86D949E9E4368674</vt:lpwstr>
  </property>
</Properties>
</file>